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keepNext/>
        <w:keepLines/>
        <w:widowControl/>
        <w:pBdr>
          <w:top w:val="single" w:color="2E74B5" w:sz="2" w:space="3"/>
          <w:left w:val="single" w:color="2E74B5" w:sz="2" w:space="0"/>
          <w:bottom w:val="single" w:color="2E74B5" w:sz="2" w:space="3"/>
          <w:right w:val="single" w:color="2E74B5" w:sz="2" w:space="0"/>
        </w:pBdr>
        <w:shd w:val="clear" w:fill="2E74B5"/>
        <w:bidi w:val="0"/>
        <w:spacing w:before="360" w:after="120"/>
        <w:ind w:left="312" w:hanging="284"/>
        <w:rPr>
          <w:lang w:val="fr-BE"/>
        </w:rPr>
      </w:pPr>
      <w:r>
        <w:rPr>
          <w:lang w:val="fr-BE" w:eastAsia="fr-FR"/>
        </w:rPr>
        <w:t>RUBRIQUE 1</w:t>
      </w:r>
      <w:r>
        <w:rPr>
          <w:lang w:val="fr-BE"/>
        </w:rPr>
        <w:t xml:space="preserve">: </w:t>
      </w:r>
      <w:r>
        <w:rPr>
          <w:lang w:val="fr-BE" w:eastAsia="fr-FR"/>
        </w:rPr>
        <w:t>Identification de la substance/du mélange et de la société/de l’entreprise</w:t>
      </w:r>
    </w:p>
    <w:p>
      <w:pPr>
        <w:pStyle w:val="41"/>
        <w:rPr>
          <w:lang w:val="en-GB"/>
        </w:rPr>
      </w:pPr>
      <w:r>
        <w:rPr>
          <w:lang w:val="en-GB"/>
        </w:rPr>
        <w:t xml:space="preserve">1.1. </w:t>
      </w:r>
      <w:r>
        <w:rPr>
          <w:lang w:val="en-GB" w:eastAsia="fr-FR"/>
        </w:rPr>
        <w:t>Identificateur de produit</w:t>
      </w:r>
    </w:p>
    <w:tbl>
      <w:tblPr>
        <w:tblStyle w:val="9"/>
        <w:tblW w:w="10488" w:type="dxa"/>
        <w:tblInd w:w="0" w:type="dxa"/>
        <w:tblLayout w:type="fixed"/>
        <w:tblCellMar>
          <w:top w:w="0" w:type="dxa"/>
          <w:left w:w="0" w:type="dxa"/>
          <w:bottom w:w="0" w:type="dxa"/>
          <w:right w:w="0" w:type="dxa"/>
        </w:tblCellMar>
      </w:tblPr>
      <w:tblGrid>
        <w:gridCol w:w="3685"/>
        <w:gridCol w:w="283"/>
        <w:gridCol w:w="6520"/>
      </w:tblGrid>
      <w:tr>
        <w:tblPrEx>
          <w:tblCellMar>
            <w:top w:w="0" w:type="dxa"/>
            <w:left w:w="0" w:type="dxa"/>
            <w:bottom w:w="0" w:type="dxa"/>
            <w:right w:w="0" w:type="dxa"/>
          </w:tblCellMar>
        </w:tblPrEx>
        <w:trPr>
          <w:cantSplit/>
          <w:trHeight w:val="23" w:hRule="atLeast"/>
        </w:trPr>
        <w:tc>
          <w:tcPr>
            <w:tcW w:w="3685" w:type="dxa"/>
          </w:tcPr>
          <w:p>
            <w:pPr>
              <w:pStyle w:val="32"/>
              <w:keepLines/>
              <w:spacing w:line="288" w:lineRule="auto"/>
              <w:rPr>
                <w:rFonts w:hint="default" w:ascii="Arial" w:hAnsi="Arial" w:cs="Arial"/>
                <w:sz w:val="16"/>
                <w:szCs w:val="12"/>
                <w:lang w:val="en-US" w:eastAsia="nl-NL" w:bidi="ar-SA"/>
              </w:rPr>
            </w:pPr>
            <w:r>
              <w:rPr>
                <w:rFonts w:cs="Arial"/>
                <w:sz w:val="16"/>
                <w:szCs w:val="12"/>
                <w:lang w:val="en-GB" w:eastAsia="fr-FR" w:bidi="ar-SA"/>
              </w:rPr>
              <w:t>Forme du prod</w:t>
            </w:r>
            <w:r>
              <w:rPr>
                <w:rFonts w:hint="default" w:cs="Arial"/>
                <w:sz w:val="16"/>
                <w:szCs w:val="12"/>
                <w:lang w:val="en-US" w:eastAsia="fr-FR" w:bidi="ar-SA"/>
              </w:rPr>
              <w:t>uit :Bougie et fondant</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Mélange</w:t>
            </w:r>
          </w:p>
        </w:tc>
      </w:tr>
      <w:tr>
        <w:tblPrEx>
          <w:tblCellMar>
            <w:top w:w="0" w:type="dxa"/>
            <w:left w:w="0" w:type="dxa"/>
            <w:bottom w:w="0" w:type="dxa"/>
            <w:right w:w="0" w:type="dxa"/>
          </w:tblCellMar>
        </w:tblPrEx>
        <w:trPr>
          <w:cantSplit/>
          <w:trHeight w:val="23" w:hRule="atLeast"/>
        </w:trPr>
        <w:tc>
          <w:tcPr>
            <w:tcW w:w="3685" w:type="dxa"/>
          </w:tcPr>
          <w:p>
            <w:pPr>
              <w:pStyle w:val="32"/>
              <w:keepLines/>
              <w:spacing w:line="288" w:lineRule="auto"/>
              <w:rPr>
                <w:rFonts w:hint="default" w:ascii="Arial" w:hAnsi="Arial" w:cs="Arial"/>
                <w:sz w:val="16"/>
                <w:szCs w:val="12"/>
                <w:lang w:val="en-US" w:eastAsia="nl-NL" w:bidi="ar-SA"/>
              </w:rPr>
            </w:pPr>
            <w:r>
              <w:rPr>
                <w:rFonts w:cs="Arial"/>
                <w:sz w:val="16"/>
                <w:szCs w:val="12"/>
                <w:lang w:val="en-GB" w:eastAsia="fr-FR" w:bidi="ar-SA"/>
              </w:rPr>
              <w:t>Nom commercial</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FDS 10% - Anti-tabac tropical</w:t>
            </w:r>
          </w:p>
        </w:tc>
      </w:tr>
      <w:tr>
        <w:tblPrEx>
          <w:tblCellMar>
            <w:top w:w="0" w:type="dxa"/>
            <w:left w:w="0" w:type="dxa"/>
            <w:bottom w:w="0" w:type="dxa"/>
            <w:right w:w="0" w:type="dxa"/>
          </w:tblCellMar>
        </w:tblPrEx>
        <w:trPr>
          <w:cantSplit/>
          <w:trHeight w:val="23" w:hRule="atLeas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Code du produit</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w:t>
            </w:r>
          </w:p>
        </w:tc>
      </w:tr>
      <w:tr>
        <w:tblPrEx>
          <w:tblCellMar>
            <w:top w:w="0" w:type="dxa"/>
            <w:left w:w="0" w:type="dxa"/>
            <w:bottom w:w="0" w:type="dxa"/>
            <w:right w:w="0" w:type="dxa"/>
          </w:tblCellMar>
        </w:tblPrEx>
        <w:trPr>
          <w:cantSplit/>
          <w:trHeight w:val="23" w:hRule="atLeas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 produits</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Bougies</w:t>
            </w:r>
          </w:p>
        </w:tc>
      </w:tr>
    </w:tbl>
    <w:p>
      <w:pPr>
        <w:pStyle w:val="41"/>
        <w:rPr>
          <w:lang w:val="fr-BE"/>
        </w:rPr>
      </w:pPr>
      <w:r>
        <w:rPr>
          <w:lang w:val="fr-BE"/>
        </w:rPr>
        <w:t xml:space="preserve">1.2. </w:t>
      </w:r>
      <w:r>
        <w:rPr>
          <w:lang w:val="fr-BE" w:eastAsia="fr-FR"/>
        </w:rPr>
        <w:t>Utilisations identifiées pertinentes de la substance ou du mélange et utilisations déconseillées</w:t>
      </w:r>
    </w:p>
    <w:p>
      <w:pPr>
        <w:pStyle w:val="42"/>
        <w:rPr>
          <w:lang w:val="fr-BE"/>
        </w:rPr>
      </w:pPr>
      <w:r>
        <w:rPr>
          <w:lang w:val="fr-BE"/>
        </w:rPr>
        <w:t xml:space="preserve">1.2.1. </w:t>
      </w:r>
      <w:r>
        <w:rPr>
          <w:lang w:val="fr-BE" w:eastAsia="fr-FR"/>
        </w:rPr>
        <w:t>Utilisations identifiées pertinentes</w:t>
      </w:r>
    </w:p>
    <w:p>
      <w:pPr>
        <w:pStyle w:val="38"/>
      </w:pPr>
      <w:r>
        <w:t>Destiné au grand public</w:t>
      </w:r>
    </w:p>
    <w:tbl>
      <w:tblPr>
        <w:tblStyle w:val="9"/>
        <w:tblW w:w="10488" w:type="dxa"/>
        <w:tblInd w:w="0" w:type="dxa"/>
        <w:tblLayout w:type="fixed"/>
        <w:tblCellMar>
          <w:top w:w="0" w:type="dxa"/>
          <w:left w:w="0" w:type="dxa"/>
          <w:bottom w:w="0" w:type="dxa"/>
          <w:right w:w="0" w:type="dxa"/>
        </w:tblCellMar>
      </w:tblPr>
      <w:tblGrid>
        <w:gridCol w:w="3685"/>
        <w:gridCol w:w="283"/>
        <w:gridCol w:w="6520"/>
      </w:tblGrid>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Catégorie d’usage principal</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Utilisation par les consommateurs</w:t>
            </w:r>
          </w:p>
        </w:tc>
      </w:tr>
    </w:tbl>
    <w:p>
      <w:pPr>
        <w:pStyle w:val="42"/>
      </w:pPr>
      <w:r>
        <w:t>1.2.2. Utilisations déconseillées</w:t>
      </w:r>
    </w:p>
    <w:p>
      <w:pPr>
        <w:pStyle w:val="38"/>
        <w:bidi w:val="0"/>
      </w:pPr>
      <w:r>
        <w:t>Pas d’informations complémentaires disponibles</w:t>
      </w:r>
    </w:p>
    <w:p>
      <w:pPr>
        <w:pStyle w:val="41"/>
        <w:rPr>
          <w:lang w:val="en-GB"/>
        </w:rPr>
      </w:pPr>
      <w:r>
        <w:rPr>
          <w:lang w:val="en-GB"/>
        </w:rPr>
        <w:t xml:space="preserve">1.3. </w:t>
      </w:r>
      <w:r>
        <w:rPr>
          <w:lang w:val="en-GB" w:eastAsia="fr-FR"/>
        </w:rPr>
        <w:t>Renseignements concernant le fournisseur de la fiche de données de sécurité</w:t>
      </w:r>
    </w:p>
    <w:tbl>
      <w:tblPr>
        <w:tblStyle w:val="9"/>
        <w:tblW w:w="10485" w:type="dxa"/>
        <w:tblInd w:w="0" w:type="dxa"/>
        <w:tblLayout w:type="fixed"/>
        <w:tblCellMar>
          <w:top w:w="0" w:type="dxa"/>
          <w:left w:w="0" w:type="dxa"/>
          <w:bottom w:w="0" w:type="dxa"/>
          <w:right w:w="0" w:type="dxa"/>
        </w:tblCellMar>
      </w:tblPr>
      <w:tblGrid>
        <w:gridCol w:w="10485"/>
      </w:tblGrid>
      <w:tr>
        <w:tblPrEx>
          <w:tblCellMar>
            <w:top w:w="0" w:type="dxa"/>
            <w:left w:w="0" w:type="dxa"/>
            <w:bottom w:w="0" w:type="dxa"/>
            <w:right w:w="0" w:type="dxa"/>
          </w:tblCellMar>
        </w:tblPrEx>
        <w:trPr>
          <w:cantSplit/>
        </w:trPr>
        <w:tc>
          <w:tcPr>
            <w:tcW w:w="10485" w:type="dxa"/>
          </w:tcPr>
          <w:p>
            <w:pPr>
              <w:pStyle w:val="33"/>
              <w:keepNext/>
              <w:keepLines/>
              <w:spacing w:before="40" w:after="0" w:line="288" w:lineRule="auto"/>
              <w:rPr>
                <w:rFonts w:ascii="Arial" w:hAnsi="Arial" w:cs="Arial"/>
                <w:b/>
                <w:sz w:val="16"/>
                <w:szCs w:val="12"/>
                <w:lang w:val="en-GB" w:eastAsia="nl-NL" w:bidi="ar-SA"/>
              </w:rPr>
            </w:pPr>
            <w:r>
              <w:rPr>
                <w:rFonts w:cs="Arial"/>
                <w:b/>
                <w:sz w:val="16"/>
                <w:szCs w:val="12"/>
                <w:lang w:val="en-GB" w:eastAsia="fr-FR" w:bidi="ar-SA"/>
              </w:rPr>
              <w:t>Fabricant</w:t>
            </w:r>
          </w:p>
          <w:p>
            <w:pPr>
              <w:pStyle w:val="33"/>
              <w:keepNext/>
              <w:keepLines/>
              <w:spacing w:before="40" w:line="288" w:lineRule="auto"/>
              <w:rPr>
                <w:rFonts w:hint="default" w:cs="Arial"/>
                <w:b w:val="0"/>
                <w:bCs w:val="0"/>
                <w:i w:val="0"/>
                <w:iCs w:val="0"/>
                <w:color w:val="000000"/>
                <w:sz w:val="16"/>
                <w:szCs w:val="16"/>
                <w:u w:val="none"/>
                <w:lang w:val="fr-FR"/>
              </w:rPr>
            </w:pPr>
            <w:r>
              <w:rPr>
                <w:rFonts w:ascii="Arial" w:hAnsi="Arial" w:cs="Arial"/>
                <w:b w:val="0"/>
                <w:bCs w:val="0"/>
                <w:i w:val="0"/>
                <w:iCs w:val="0"/>
                <w:color w:val="000000"/>
                <w:sz w:val="16"/>
                <w:szCs w:val="16"/>
                <w:u w:val="none"/>
                <w:lang w:val="en-US"/>
              </w:rPr>
              <w:t>LES SENTEURS FONDANTES</w:t>
            </w:r>
            <w:r>
              <w:rPr>
                <w:rFonts w:hint="default" w:ascii="Arial" w:hAnsi="Arial" w:cs="Arial"/>
                <w:b w:val="0"/>
                <w:bCs w:val="0"/>
                <w:i w:val="0"/>
                <w:iCs w:val="0"/>
                <w:color w:val="000000"/>
                <w:sz w:val="16"/>
                <w:szCs w:val="16"/>
                <w:u w:val="none"/>
                <w:lang w:val="en-US"/>
              </w:rPr>
              <w:br w:type="textWrapping"/>
            </w:r>
            <w:r>
              <w:rPr>
                <w:rFonts w:hint="default" w:cs="Arial"/>
                <w:b w:val="0"/>
                <w:bCs w:val="0"/>
                <w:i w:val="0"/>
                <w:iCs w:val="0"/>
                <w:color w:val="000000"/>
                <w:sz w:val="16"/>
                <w:szCs w:val="16"/>
                <w:u w:val="none"/>
                <w:lang w:val="fr-FR"/>
              </w:rPr>
              <w:t xml:space="preserve">108 rue des erables </w:t>
            </w:r>
          </w:p>
          <w:p>
            <w:pPr>
              <w:pStyle w:val="33"/>
              <w:keepNext/>
              <w:keepLines/>
              <w:spacing w:before="40" w:line="288" w:lineRule="auto"/>
            </w:pPr>
            <w:r>
              <w:rPr>
                <w:rFonts w:hint="default" w:cs="Arial"/>
                <w:b w:val="0"/>
                <w:bCs w:val="0"/>
                <w:i w:val="0"/>
                <w:iCs w:val="0"/>
                <w:color w:val="000000"/>
                <w:sz w:val="16"/>
                <w:szCs w:val="16"/>
                <w:u w:val="none"/>
                <w:lang w:val="fr-FR"/>
              </w:rPr>
              <w:t>27160 Breteuil sur iton</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00"/>
                <w:sz w:val="16"/>
                <w:szCs w:val="16"/>
                <w:u w:val="none"/>
                <w:lang w:val="en-US"/>
              </w:rPr>
              <w:t>France</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00"/>
                <w:sz w:val="16"/>
                <w:szCs w:val="16"/>
                <w:u w:val="none"/>
                <w:lang w:val="en-US"/>
              </w:rPr>
              <w:t>0679901519</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EE"/>
                <w:sz w:val="16"/>
                <w:szCs w:val="16"/>
                <w:u w:val="single"/>
                <w:lang w:val="en-US"/>
              </w:rPr>
              <w:t>lsf27640@gmail.com</w:t>
            </w:r>
          </w:p>
          <w:p>
            <w:pPr>
              <w:pStyle w:val="32"/>
              <w:keepLines/>
              <w:spacing w:line="288" w:lineRule="auto"/>
              <w:rPr>
                <w:rFonts w:ascii="Arial" w:hAnsi="Arial" w:cs="Arial"/>
                <w:sz w:val="16"/>
                <w:szCs w:val="12"/>
                <w:lang w:val="en-GB" w:eastAsia="nl-NL" w:bidi="ar-SA"/>
              </w:rPr>
            </w:pPr>
            <w:bookmarkStart w:id="12" w:name="_GoBack"/>
            <w:bookmarkEnd w:id="12"/>
          </w:p>
        </w:tc>
      </w:tr>
    </w:tbl>
    <w:p>
      <w:pPr>
        <w:pStyle w:val="41"/>
        <w:rPr>
          <w:lang w:val="en-GB"/>
        </w:rPr>
      </w:pPr>
      <w:r>
        <w:rPr>
          <w:lang w:val="en-GB"/>
        </w:rPr>
        <w:t xml:space="preserve">1.4. </w:t>
      </w:r>
      <w:r>
        <w:rPr>
          <w:lang w:val="en-GB" w:eastAsia="fr-FR"/>
        </w:rPr>
        <w:t>Numéro d’appel d’urgence</w:t>
      </w:r>
    </w:p>
    <w:tbl>
      <w:tblPr>
        <w:tblStyle w:val="9"/>
        <w:tblW w:w="10488" w:type="dxa"/>
        <w:tblInd w:w="-62" w:type="dxa"/>
        <w:tblLayout w:type="fixed"/>
        <w:tblCellMar>
          <w:top w:w="57" w:type="dxa"/>
          <w:left w:w="57" w:type="dxa"/>
          <w:bottom w:w="57" w:type="dxa"/>
          <w:right w:w="57" w:type="dxa"/>
        </w:tblCellMar>
      </w:tblPr>
      <w:tblGrid>
        <w:gridCol w:w="1417"/>
        <w:gridCol w:w="3118"/>
        <w:gridCol w:w="2268"/>
        <w:gridCol w:w="1984"/>
        <w:gridCol w:w="1701"/>
      </w:tblGrid>
      <w:tr>
        <w:tblPrEx>
          <w:tblCellMar>
            <w:top w:w="57" w:type="dxa"/>
            <w:left w:w="57" w:type="dxa"/>
            <w:bottom w:w="57" w:type="dxa"/>
            <w:right w:w="57" w:type="dxa"/>
          </w:tblCellMar>
        </w:tblPrEx>
        <w:trPr>
          <w:cantSplit/>
          <w:tblHeader/>
        </w:trPr>
        <w:tc>
          <w:tcPr>
            <w:tcW w:w="1417"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Pays</w:t>
            </w:r>
          </w:p>
        </w:tc>
        <w:tc>
          <w:tcPr>
            <w:tcW w:w="3118"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Organisme/Société</w:t>
            </w:r>
          </w:p>
        </w:tc>
        <w:tc>
          <w:tcPr>
            <w:tcW w:w="2268"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Adresse</w:t>
            </w:r>
          </w:p>
        </w:tc>
        <w:tc>
          <w:tcPr>
            <w:tcW w:w="1984"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Numéro d’urgence</w:t>
            </w:r>
          </w:p>
        </w:tc>
        <w:tc>
          <w:tcPr>
            <w:tcW w:w="1701"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Commentaire</w:t>
            </w:r>
          </w:p>
        </w:tc>
      </w:tr>
      <w:tr>
        <w:tblPrEx>
          <w:tblCellMar>
            <w:top w:w="57" w:type="dxa"/>
            <w:left w:w="57" w:type="dxa"/>
            <w:bottom w:w="57" w:type="dxa"/>
            <w:right w:w="57" w:type="dxa"/>
          </w:tblCellMar>
        </w:tblPrEx>
        <w:trPr>
          <w:cantSplit/>
        </w:trPr>
        <w:tc>
          <w:tcPr>
            <w:tcW w:w="1417"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France</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ORFILA</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eastAsia="Arial" w:cs="Arial"/>
                <w:sz w:val="16"/>
                <w:szCs w:val="12"/>
                <w:lang w:val="en-GB" w:eastAsia="nl-NL" w:bidi="ar-SA"/>
              </w:rPr>
              <w:t xml:space="preserve">  </w:t>
            </w:r>
          </w:p>
        </w:tc>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+33 1 45 42 59 59</w:t>
            </w:r>
          </w:p>
        </w:tc>
        <w:tc>
          <w:tcPr>
            <w:tcW w:w="1701"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Ce numéro permet d’obtenir les coordonnées de tous les centres Anti-poison Français. Ces centres anti-poison et de toxicovigilance fournissent une aide médicale gratuite (hors coût d’appel), 24 heures sur 24 et 7 jours sur 7.</w:t>
            </w:r>
          </w:p>
        </w:tc>
      </w:tr>
    </w:tbl>
    <w:p>
      <w:pPr>
        <w:pStyle w:val="40"/>
        <w:rPr>
          <w:lang w:val="fr-BE"/>
        </w:rPr>
      </w:pPr>
      <w:r>
        <w:rPr>
          <w:lang w:val="fr-BE" w:eastAsia="fr-FR"/>
        </w:rPr>
        <w:t>RUBRIQUE 2</w:t>
      </w:r>
      <w:r>
        <w:rPr>
          <w:lang w:val="fr-BE"/>
        </w:rPr>
        <w:t xml:space="preserve">: </w:t>
      </w:r>
      <w:r>
        <w:rPr>
          <w:lang w:val="fr-BE" w:eastAsia="fr-FR"/>
        </w:rPr>
        <w:t>Identification des dangers</w:t>
      </w:r>
    </w:p>
    <w:p>
      <w:pPr>
        <w:pStyle w:val="41"/>
        <w:rPr>
          <w:lang w:val="fr-BE"/>
        </w:rPr>
      </w:pPr>
      <w:r>
        <w:rPr>
          <w:lang w:val="fr-BE"/>
        </w:rPr>
        <w:t xml:space="preserve">2.1. </w:t>
      </w:r>
      <w:r>
        <w:rPr>
          <w:lang w:val="fr-BE" w:eastAsia="fr-FR"/>
        </w:rPr>
        <w:t>Classification de la substance ou du mélange</w:t>
      </w:r>
    </w:p>
    <w:p>
      <w:pPr>
        <w:pStyle w:val="42"/>
        <w:rPr>
          <w:lang w:val="fr-BE"/>
        </w:rPr>
      </w:pPr>
      <w:r>
        <w:rPr>
          <w:lang w:val="fr-BE" w:eastAsia="fr-FR"/>
        </w:rPr>
        <w:t>Classification selon le règlement (CE) N° 1272/2008 [CLP]</w:t>
      </w:r>
    </w:p>
    <w:tbl>
      <w:tblPr>
        <w:tblStyle w:val="9"/>
        <w:tblW w:w="10490" w:type="dxa"/>
        <w:tblInd w:w="0" w:type="dxa"/>
        <w:tblLayout w:type="fixed"/>
        <w:tblCellMar>
          <w:top w:w="0" w:type="dxa"/>
          <w:left w:w="0" w:type="dxa"/>
          <w:bottom w:w="0" w:type="dxa"/>
          <w:right w:w="0" w:type="dxa"/>
        </w:tblCellMar>
      </w:tblPr>
      <w:tblGrid>
        <w:gridCol w:w="4500"/>
        <w:gridCol w:w="2021"/>
        <w:gridCol w:w="1134"/>
        <w:gridCol w:w="2835"/>
      </w:tblGrid>
      <w:tr>
        <w:tblPrEx>
          <w:tblCellMar>
            <w:top w:w="0" w:type="dxa"/>
            <w:left w:w="0" w:type="dxa"/>
            <w:bottom w:w="0" w:type="dxa"/>
            <w:right w:w="0" w:type="dxa"/>
          </w:tblCellMar>
        </w:tblPrEx>
        <w:trPr>
          <w:cantSplit/>
        </w:trPr>
        <w:tc>
          <w:tcPr>
            <w:tcW w:w="450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Sensibilisation cutanée, catégorie 1</w:t>
            </w:r>
          </w:p>
        </w:tc>
        <w:tc>
          <w:tcPr>
            <w:tcW w:w="2021" w:type="dxa"/>
          </w:tcPr>
          <w:p>
            <w:pPr>
              <w:pStyle w:val="32"/>
              <w:keepLines/>
              <w:spacing w:line="288" w:lineRule="auto"/>
            </w:pPr>
            <w:r>
              <w:rPr>
                <w:rFonts w:cs="Arial"/>
                <w:sz w:val="16"/>
                <w:szCs w:val="12"/>
                <w:lang w:val="en-GB" w:eastAsia="fr-FR" w:bidi="ar-SA"/>
              </w:rPr>
              <w:t>H317</w:t>
            </w:r>
            <w:r>
              <w:rPr>
                <w:rFonts w:cs="Arial"/>
                <w:sz w:val="16"/>
                <w:szCs w:val="12"/>
                <w:lang w:val="en-GB" w:eastAsia="nl-NL" w:bidi="ar-SA"/>
              </w:rPr>
              <w:t xml:space="preserve"> </w:t>
            </w:r>
          </w:p>
        </w:tc>
        <w:tc>
          <w:tcPr>
            <w:tcW w:w="1134" w:type="dxa"/>
          </w:tcPr>
          <w:p>
            <w:pPr>
              <w:keepLines/>
              <w:snapToGrid w:val="0"/>
              <w:spacing w:line="288" w:lineRule="auto"/>
              <w:rPr>
                <w:rFonts w:ascii="Arial" w:hAnsi="Arial" w:cs="Arial"/>
                <w:sz w:val="16"/>
                <w:szCs w:val="12"/>
                <w:lang w:val="en-GB" w:eastAsia="nl-NL" w:bidi="ar-SA"/>
              </w:rPr>
            </w:pPr>
          </w:p>
        </w:tc>
        <w:tc>
          <w:tcPr>
            <w:tcW w:w="2835" w:type="dxa"/>
          </w:tcPr>
          <w:p>
            <w:pPr>
              <w:pStyle w:val="32"/>
              <w:keepLines/>
              <w:snapToGrid w:val="0"/>
              <w:spacing w:line="288" w:lineRule="auto"/>
              <w:rPr>
                <w:rFonts w:ascii="Arial" w:hAnsi="Arial" w:cs="Arial"/>
                <w:sz w:val="16"/>
                <w:szCs w:val="12"/>
                <w:lang w:val="en-GB" w:eastAsia="nl-NL" w:bidi="ar-SA"/>
              </w:rPr>
            </w:pPr>
          </w:p>
        </w:tc>
      </w:tr>
    </w:tbl>
    <w:p>
      <w:pPr>
        <w:pStyle w:val="38"/>
      </w:pPr>
      <w:r>
        <w:t>Texte intégral des mentions H et EUH : voir rubrique 16</w:t>
      </w:r>
    </w:p>
    <w:p>
      <w:pPr>
        <w:pStyle w:val="42"/>
      </w:pPr>
      <w:r>
        <w:t>Effets néfastes physicochimiques, pour la santé humaine et pour l’environnement</w:t>
      </w:r>
    </w:p>
    <w:p>
      <w:pPr>
        <w:pStyle w:val="38"/>
        <w:bidi w:val="0"/>
      </w:pPr>
      <w:r>
        <w:t>Pas d’informations complémentaires disponibles</w:t>
      </w:r>
    </w:p>
    <w:p>
      <w:pPr>
        <w:pStyle w:val="41"/>
        <w:rPr>
          <w:lang w:val="en-GB"/>
        </w:rPr>
      </w:pPr>
      <w:r>
        <w:rPr>
          <w:lang w:val="en-GB"/>
        </w:rPr>
        <w:t xml:space="preserve">2.2. </w:t>
      </w:r>
      <w:r>
        <w:rPr>
          <w:lang w:val="en-GB" w:eastAsia="fr-FR"/>
        </w:rPr>
        <w:t>Éléments d’étiquetage</w:t>
      </w:r>
    </w:p>
    <w:p>
      <w:pPr>
        <w:pStyle w:val="42"/>
      </w:pPr>
      <w:r>
        <w:t>Etiquetage selon le règlement (CE) N° 1272/2008 [CLP]</w:t>
      </w:r>
    </w:p>
    <w:tbl>
      <w:tblPr>
        <w:tblStyle w:val="9"/>
        <w:tblW w:w="10489" w:type="dxa"/>
        <w:tblInd w:w="0" w:type="dxa"/>
        <w:tblLayout w:type="fixed"/>
        <w:tblCellMar>
          <w:top w:w="0" w:type="dxa"/>
          <w:left w:w="0" w:type="dxa"/>
          <w:bottom w:w="0" w:type="dxa"/>
          <w:right w:w="0" w:type="dxa"/>
        </w:tblCellMar>
      </w:tblPr>
      <w:tblGrid>
        <w:gridCol w:w="3685"/>
        <w:gridCol w:w="284"/>
        <w:gridCol w:w="1077"/>
        <w:gridCol w:w="1077"/>
        <w:gridCol w:w="1077"/>
        <w:gridCol w:w="1077"/>
        <w:gridCol w:w="1077"/>
        <w:gridCol w:w="1135"/>
      </w:tblGrid>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Pictogrammes de danger (CLP)</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1077" w:type="dxa"/>
          </w:tcPr>
          <w:p>
            <w:pPr>
              <w:pStyle w:val="34"/>
              <w:keepLines/>
              <w:spacing w:line="288" w:lineRule="auto"/>
              <w:jc w:val="center"/>
              <w:rPr>
                <w:rFonts w:ascii="Arial" w:hAnsi="Arial" w:cs="Arial"/>
                <w:sz w:val="16"/>
                <w:szCs w:val="12"/>
                <w:lang w:val="en-GB" w:eastAsia="nl-NL" w:bidi="ar-SA"/>
              </w:rPr>
            </w:pPr>
            <w:r>
              <w:drawing>
                <wp:inline distT="0" distB="0" distL="0" distR="0">
                  <wp:extent cx="635000" cy="6350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rcRect l="-5" t="-5" r="-5" b="-5"/>
                          <a:stretch>
                            <a:fillRect/>
                          </a:stretch>
                        </pic:blipFill>
                        <pic:spPr>
                          <a:xfrm>
                            <a:off x="0" y="0"/>
                            <a:ext cx="635000" cy="635000"/>
                          </a:xfrm>
                          <a:prstGeom prst="rect">
                            <a:avLst/>
                          </a:prstGeom>
                        </pic:spPr>
                      </pic:pic>
                    </a:graphicData>
                  </a:graphic>
                </wp:inline>
              </w:drawing>
            </w: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135" w:type="dxa"/>
          </w:tcPr>
          <w:p>
            <w:pPr>
              <w:pStyle w:val="34"/>
              <w:keepLines/>
              <w:snapToGrid w:val="0"/>
              <w:spacing w:line="288" w:lineRule="auto"/>
              <w:jc w:val="center"/>
              <w:rPr>
                <w:rFonts w:ascii="Arial" w:hAnsi="Arial" w:cs="Arial"/>
                <w:sz w:val="16"/>
                <w:szCs w:val="12"/>
                <w:lang w:val="en-GB" w:eastAsia="nl-NL" w:bidi="ar-SA"/>
              </w:rPr>
            </w:pPr>
          </w:p>
        </w:tc>
      </w:tr>
      <w:tr>
        <w:tblPrEx>
          <w:tblCellMar>
            <w:top w:w="0" w:type="dxa"/>
            <w:left w:w="0" w:type="dxa"/>
            <w:bottom w:w="0" w:type="dxa"/>
            <w:right w:w="0" w:type="dxa"/>
          </w:tblCellMar>
        </w:tblPrEx>
        <w:trPr>
          <w:cantSplit/>
        </w:trPr>
        <w:tc>
          <w:tcPr>
            <w:tcW w:w="3685" w:type="dxa"/>
          </w:tcPr>
          <w:p>
            <w:pPr>
              <w:pStyle w:val="32"/>
              <w:keepLines/>
              <w:snapToGrid w:val="0"/>
              <w:spacing w:line="288" w:lineRule="auto"/>
              <w:rPr>
                <w:rFonts w:ascii="Arial" w:hAnsi="Arial" w:cs="Arial"/>
                <w:sz w:val="16"/>
                <w:szCs w:val="12"/>
                <w:lang w:val="en-GB" w:eastAsia="nl-NL" w:bidi="ar-SA"/>
              </w:rPr>
            </w:pPr>
          </w:p>
        </w:tc>
        <w:tc>
          <w:tcPr>
            <w:tcW w:w="284" w:type="dxa"/>
          </w:tcPr>
          <w:p>
            <w:pPr>
              <w:pStyle w:val="44"/>
              <w:keepLines/>
              <w:snapToGrid w:val="0"/>
              <w:spacing w:line="288" w:lineRule="auto"/>
              <w:jc w:val="center"/>
              <w:rPr>
                <w:rFonts w:ascii="Arial" w:hAnsi="Arial" w:cs="Arial"/>
                <w:sz w:val="16"/>
                <w:szCs w:val="12"/>
                <w:lang w:val="en-GB" w:eastAsia="nl-NL" w:bidi="ar-SA"/>
              </w:rPr>
            </w:pPr>
          </w:p>
        </w:tc>
        <w:tc>
          <w:tcPr>
            <w:tcW w:w="1077" w:type="dxa"/>
          </w:tcPr>
          <w:p>
            <w:pPr>
              <w:pStyle w:val="34"/>
              <w:keepLines/>
              <w:spacing w:line="288" w:lineRule="auto"/>
              <w:jc w:val="center"/>
              <w:rPr>
                <w:rFonts w:ascii="Arial" w:hAnsi="Arial" w:cs="Arial"/>
                <w:sz w:val="16"/>
                <w:szCs w:val="12"/>
                <w:lang w:val="en-GB" w:eastAsia="nl-NL" w:bidi="ar-SA"/>
              </w:rPr>
            </w:pPr>
            <w:r>
              <w:rPr>
                <w:rFonts w:cs="Arial"/>
                <w:sz w:val="16"/>
                <w:szCs w:val="12"/>
                <w:lang w:val="en-GB" w:eastAsia="fr-FR" w:bidi="ar-SA"/>
              </w:rPr>
              <w:t>GHS07</w:t>
            </w: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077" w:type="dxa"/>
          </w:tcPr>
          <w:p>
            <w:pPr>
              <w:pStyle w:val="34"/>
              <w:keepLines/>
              <w:snapToGrid w:val="0"/>
              <w:spacing w:line="288" w:lineRule="auto"/>
              <w:jc w:val="center"/>
              <w:rPr>
                <w:rFonts w:ascii="Arial" w:hAnsi="Arial" w:cs="Arial"/>
                <w:sz w:val="16"/>
                <w:szCs w:val="12"/>
                <w:lang w:val="en-GB" w:eastAsia="nl-NL" w:bidi="ar-SA"/>
              </w:rPr>
            </w:pPr>
          </w:p>
        </w:tc>
        <w:tc>
          <w:tcPr>
            <w:tcW w:w="1135" w:type="dxa"/>
          </w:tcPr>
          <w:p>
            <w:pPr>
              <w:pStyle w:val="34"/>
              <w:keepLines/>
              <w:snapToGrid w:val="0"/>
              <w:spacing w:line="288" w:lineRule="auto"/>
              <w:jc w:val="center"/>
              <w:rPr>
                <w:rFonts w:ascii="Arial" w:hAnsi="Arial" w:cs="Arial"/>
                <w:sz w:val="16"/>
                <w:szCs w:val="12"/>
                <w:lang w:val="en-GB" w:eastAsia="nl-NL" w:bidi="ar-SA"/>
              </w:rPr>
            </w:pPr>
          </w:p>
        </w:tc>
      </w:tr>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Mention d’avertissement (CLP)</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gridSpan w:val="6"/>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Attention</w:t>
            </w:r>
          </w:p>
        </w:tc>
      </w:tr>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Contient</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gridSpan w:val="6"/>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ACETATE PTBCH; ALDEHYDE HEXYL CINNAMIQUE; LINALOL; DAMACENONE; LIMONENE DROIT (+100)</w:t>
            </w:r>
          </w:p>
        </w:tc>
      </w:tr>
      <w:tr>
        <w:tblPrEx>
          <w:tblCellMar>
            <w:top w:w="0" w:type="dxa"/>
            <w:left w:w="0" w:type="dxa"/>
            <w:bottom w:w="0" w:type="dxa"/>
            <w:right w:w="0" w:type="dxa"/>
          </w:tblCellMar>
        </w:tblPrEx>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Mentions de danger (CLP)</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gridSpan w:val="6"/>
          </w:tcPr>
          <w:p>
            <w:pPr>
              <w:pStyle w:val="32"/>
              <w:keepLines w:val="0"/>
              <w:spacing w:line="288" w:lineRule="auto"/>
              <w:rPr>
                <w:rFonts w:ascii="Arial" w:hAnsi="Arial" w:cs="Arial"/>
                <w:sz w:val="16"/>
                <w:szCs w:val="12"/>
                <w:lang w:val="en-GB" w:eastAsia="nl-NL" w:bidi="ar-SA"/>
              </w:rPr>
            </w:pPr>
            <w:r>
              <w:rPr>
                <w:rFonts w:cs="Arial"/>
                <w:sz w:val="16"/>
                <w:szCs w:val="12"/>
                <w:lang w:val="en-GB" w:eastAsia="fr-FR" w:bidi="ar-SA"/>
              </w:rPr>
              <w:t>H317 - Peut provoquer une allergie cutanée.</w:t>
            </w:r>
          </w:p>
        </w:tc>
      </w:tr>
      <w:tr>
        <w:tblPrEx>
          <w:tblCellMar>
            <w:top w:w="0" w:type="dxa"/>
            <w:left w:w="0" w:type="dxa"/>
            <w:bottom w:w="0" w:type="dxa"/>
            <w:right w:w="0" w:type="dxa"/>
          </w:tblCellMar>
        </w:tblPrEx>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Conseils de prudence (CLP)</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gridSpan w:val="6"/>
          </w:tcPr>
          <w:p>
            <w:pPr>
              <w:pStyle w:val="32"/>
              <w:keepLines w:val="0"/>
              <w:spacing w:line="288" w:lineRule="auto"/>
              <w:rPr>
                <w:rFonts w:ascii="Arial" w:hAnsi="Arial" w:cs="Arial"/>
                <w:sz w:val="16"/>
                <w:szCs w:val="12"/>
                <w:lang w:val="en-GB" w:eastAsia="nl-NL" w:bidi="ar-SA"/>
              </w:rPr>
            </w:pPr>
            <w:r>
              <w:rPr>
                <w:rFonts w:cs="Arial"/>
                <w:sz w:val="16"/>
                <w:szCs w:val="12"/>
                <w:lang w:val="en-GB" w:eastAsia="fr-FR" w:bidi="ar-SA"/>
              </w:rPr>
              <w:t>P102 - Tenir hors de portée des enfants.</w:t>
            </w:r>
            <w:r>
              <w:rPr>
                <w:rFonts w:cs="Arial"/>
                <w:sz w:val="16"/>
                <w:szCs w:val="12"/>
                <w:lang w:val="en-GB" w:eastAsia="fr-FR" w:bidi="ar-SA"/>
              </w:rPr>
              <w:br w:type="textWrapping"/>
            </w:r>
            <w:r>
              <w:rPr>
                <w:rFonts w:cs="Arial"/>
                <w:sz w:val="16"/>
                <w:szCs w:val="12"/>
                <w:lang w:val="en-GB" w:eastAsia="fr-FR" w:bidi="ar-SA"/>
              </w:rPr>
              <w:t>P261 - Éviter de respirer les poussières/fumées/gaz/brouillards/vapeurs/aérosols.</w:t>
            </w:r>
            <w:r>
              <w:rPr>
                <w:rFonts w:cs="Arial"/>
                <w:sz w:val="16"/>
                <w:szCs w:val="12"/>
                <w:lang w:val="en-GB" w:eastAsia="fr-FR" w:bidi="ar-SA"/>
              </w:rPr>
              <w:br w:type="textWrapping"/>
            </w:r>
            <w:r>
              <w:rPr>
                <w:rFonts w:cs="Arial"/>
                <w:sz w:val="16"/>
                <w:szCs w:val="12"/>
                <w:lang w:val="en-GB" w:eastAsia="fr-FR" w:bidi="ar-SA"/>
              </w:rPr>
              <w:t>P272 - Les vêtements de travail contaminés ne devraient pas sortir du lieu de travail.</w:t>
            </w:r>
            <w:r>
              <w:rPr>
                <w:rFonts w:cs="Arial"/>
                <w:sz w:val="16"/>
                <w:szCs w:val="12"/>
                <w:lang w:val="en-GB" w:eastAsia="fr-FR" w:bidi="ar-SA"/>
              </w:rPr>
              <w:br w:type="textWrapping"/>
            </w:r>
            <w:r>
              <w:rPr>
                <w:rFonts w:cs="Arial"/>
                <w:sz w:val="16"/>
                <w:szCs w:val="12"/>
                <w:lang w:val="en-GB" w:eastAsia="fr-FR" w:bidi="ar-SA"/>
              </w:rPr>
              <w:t>P280 - Porter des gants de protection/des vêtements de protection/un équipement de protection des yeux/du visage/une protection auditive.</w:t>
            </w:r>
            <w:r>
              <w:rPr>
                <w:rFonts w:cs="Arial"/>
                <w:sz w:val="16"/>
                <w:szCs w:val="12"/>
                <w:lang w:val="en-GB" w:eastAsia="fr-FR" w:bidi="ar-SA"/>
              </w:rPr>
              <w:br w:type="textWrapping"/>
            </w:r>
            <w:r>
              <w:rPr>
                <w:rFonts w:cs="Arial"/>
                <w:sz w:val="16"/>
                <w:szCs w:val="12"/>
                <w:lang w:val="en-GB" w:eastAsia="fr-FR" w:bidi="ar-SA"/>
              </w:rPr>
              <w:t>P302+P352 - EN CAS DE CONTACT AVEC LA PEAU: Laver abondamment à l’eau.</w:t>
            </w:r>
            <w:r>
              <w:rPr>
                <w:rFonts w:cs="Arial"/>
                <w:sz w:val="16"/>
                <w:szCs w:val="12"/>
                <w:lang w:val="en-GB" w:eastAsia="fr-FR" w:bidi="ar-SA"/>
              </w:rPr>
              <w:br w:type="textWrapping"/>
            </w:r>
            <w:r>
              <w:rPr>
                <w:rFonts w:cs="Arial"/>
                <w:sz w:val="16"/>
                <w:szCs w:val="12"/>
                <w:lang w:val="en-GB" w:eastAsia="fr-FR" w:bidi="ar-SA"/>
              </w:rPr>
              <w:t>P321 - Traitement spécifique (voir les instructions complémentaires de premiers secours sur cette étiquette).</w:t>
            </w:r>
            <w:r>
              <w:rPr>
                <w:rFonts w:cs="Arial"/>
                <w:sz w:val="16"/>
                <w:szCs w:val="12"/>
                <w:lang w:val="en-GB" w:eastAsia="fr-FR" w:bidi="ar-SA"/>
              </w:rPr>
              <w:br w:type="textWrapping"/>
            </w:r>
            <w:r>
              <w:rPr>
                <w:rFonts w:cs="Arial"/>
                <w:sz w:val="16"/>
                <w:szCs w:val="12"/>
                <w:lang w:val="en-GB" w:eastAsia="fr-FR" w:bidi="ar-SA"/>
              </w:rPr>
              <w:t>P333+P313 - En cas d’irritation ou d’éruption cutanée: consulter un médecin.</w:t>
            </w:r>
            <w:r>
              <w:rPr>
                <w:rFonts w:cs="Arial"/>
                <w:sz w:val="16"/>
                <w:szCs w:val="12"/>
                <w:lang w:val="en-GB" w:eastAsia="fr-FR" w:bidi="ar-SA"/>
              </w:rPr>
              <w:br w:type="textWrapping"/>
            </w:r>
            <w:r>
              <w:rPr>
                <w:rFonts w:cs="Arial"/>
                <w:sz w:val="16"/>
                <w:szCs w:val="12"/>
                <w:lang w:val="en-GB" w:eastAsia="fr-FR" w:bidi="ar-SA"/>
              </w:rPr>
              <w:t>P362+P364 - Enlever les vêtements contaminés et les laver avant réutilisation.</w:t>
            </w:r>
            <w:r>
              <w:rPr>
                <w:rFonts w:cs="Arial"/>
                <w:sz w:val="16"/>
                <w:szCs w:val="12"/>
                <w:lang w:val="en-GB" w:eastAsia="fr-FR" w:bidi="ar-SA"/>
              </w:rPr>
              <w:br w:type="textWrapping"/>
            </w:r>
            <w:r>
              <w:rPr>
                <w:rFonts w:cs="Arial"/>
                <w:sz w:val="16"/>
                <w:szCs w:val="12"/>
                <w:lang w:val="en-GB" w:eastAsia="fr-FR" w:bidi="ar-SA"/>
              </w:rPr>
              <w:t>P501 - Éliminer le contenu/récipient dans un centre de collecte de déchets dangereux ou spéciaux, conformément à la réglementation locale, régionale, nationale et/ou internationale.</w:t>
            </w:r>
          </w:p>
        </w:tc>
      </w:tr>
    </w:tbl>
    <w:p>
      <w:pPr>
        <w:pStyle w:val="41"/>
        <w:rPr>
          <w:lang w:val="en-GB"/>
        </w:rPr>
      </w:pPr>
      <w:r>
        <w:rPr>
          <w:lang w:val="en-GB"/>
        </w:rPr>
        <w:t xml:space="preserve">2.3. </w:t>
      </w:r>
      <w:r>
        <w:rPr>
          <w:lang w:val="en-GB" w:eastAsia="fr-FR"/>
        </w:rPr>
        <w:t>Autres dangers</w:t>
      </w:r>
    </w:p>
    <w:tbl>
      <w:tblPr>
        <w:tblStyle w:val="9"/>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Ne contient pas de substances PBT/vPvB ≥ 0,1 % évaluées conformément à l’annexe XIII du règlement REACH</w:t>
            </w:r>
          </w:p>
        </w:tc>
      </w:tr>
    </w:tbl>
    <w:p>
      <w:pPr>
        <w:pStyle w:val="38"/>
      </w:pPr>
    </w:p>
    <w:tbl>
      <w:tblPr>
        <w:tblStyle w:val="9"/>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tcPr>
          <w:p>
            <w:pPr>
              <w:pStyle w:val="32"/>
              <w:keepLines/>
              <w:spacing w:line="288" w:lineRule="auto"/>
              <w:rPr>
                <w:rFonts w:ascii="Arial" w:hAnsi="Arial" w:cs="Arial"/>
                <w:sz w:val="16"/>
                <w:szCs w:val="12"/>
                <w:lang w:val="en-GB" w:eastAsia="nl-NL" w:bidi="ar-SA"/>
              </w:rPr>
            </w:pPr>
            <w:bookmarkStart w:id="0" w:name="_Hlk61356392"/>
            <w:bookmarkEnd w:id="0"/>
            <w:r>
              <w:rPr>
                <w:rFonts w:cs="Arial"/>
                <w:sz w:val="16"/>
                <w:szCs w:val="12"/>
                <w:lang w:val="en-GB" w:eastAsia="fr-FR"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tbl>
    <w:p>
      <w:pPr>
        <w:pStyle w:val="37"/>
      </w:pPr>
    </w:p>
    <w:p>
      <w:pPr>
        <w:pStyle w:val="40"/>
        <w:rPr>
          <w:lang w:val="en-US"/>
        </w:rPr>
      </w:pPr>
      <w:r>
        <w:rPr>
          <w:lang w:val="en-US" w:eastAsia="fr-FR"/>
        </w:rPr>
        <w:t>RUBRIQUE 3</w:t>
      </w:r>
      <w:r>
        <w:rPr>
          <w:lang w:val="en-US"/>
        </w:rPr>
        <w:t xml:space="preserve">: </w:t>
      </w:r>
      <w:r>
        <w:rPr>
          <w:lang w:val="en-US" w:eastAsia="fr-FR"/>
        </w:rPr>
        <w:t>Composition/informations sur les composants</w:t>
      </w:r>
    </w:p>
    <w:p>
      <w:pPr>
        <w:pStyle w:val="41"/>
        <w:rPr>
          <w:lang w:val="en-GB"/>
        </w:rPr>
      </w:pPr>
      <w:r>
        <w:rPr>
          <w:lang w:val="en-GB"/>
        </w:rPr>
        <w:t xml:space="preserve">3.1. </w:t>
      </w:r>
      <w:r>
        <w:rPr>
          <w:lang w:val="en-GB" w:eastAsia="fr-FR"/>
        </w:rPr>
        <w:t>Substances</w:t>
      </w:r>
    </w:p>
    <w:p>
      <w:pPr>
        <w:pStyle w:val="38"/>
      </w:pPr>
      <w:r>
        <w:t>Non applicable</w:t>
      </w:r>
    </w:p>
    <w:p>
      <w:pPr>
        <w:pStyle w:val="41"/>
        <w:rPr>
          <w:lang w:val="en-GB"/>
        </w:rPr>
      </w:pPr>
      <w:r>
        <w:rPr>
          <w:lang w:val="en-GB"/>
        </w:rPr>
        <w:t xml:space="preserve">3.2. </w:t>
      </w:r>
      <w:r>
        <w:rPr>
          <w:lang w:val="en-GB" w:eastAsia="fr-FR"/>
        </w:rPr>
        <w:t>Mélanges</w:t>
      </w:r>
    </w:p>
    <w:tbl>
      <w:tblPr>
        <w:tblStyle w:val="9"/>
        <w:tblW w:w="10489" w:type="dxa"/>
        <w:tblInd w:w="-62" w:type="dxa"/>
        <w:tblLayout w:type="fixed"/>
        <w:tblCellMar>
          <w:top w:w="57" w:type="dxa"/>
          <w:left w:w="57" w:type="dxa"/>
          <w:bottom w:w="57" w:type="dxa"/>
          <w:right w:w="57" w:type="dxa"/>
        </w:tblCellMar>
      </w:tblPr>
      <w:tblGrid>
        <w:gridCol w:w="3969"/>
        <w:gridCol w:w="2268"/>
        <w:gridCol w:w="1134"/>
        <w:gridCol w:w="3118"/>
      </w:tblGrid>
      <w:tr>
        <w:tblPrEx>
          <w:tblCellMar>
            <w:top w:w="57" w:type="dxa"/>
            <w:left w:w="57" w:type="dxa"/>
            <w:bottom w:w="57" w:type="dxa"/>
            <w:right w:w="57" w:type="dxa"/>
          </w:tblCellMar>
        </w:tblPrEx>
        <w:trPr>
          <w:cantSplit/>
          <w:tblHeader/>
        </w:trPr>
        <w:tc>
          <w:tcPr>
            <w:tcW w:w="3969"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Nom</w:t>
            </w:r>
          </w:p>
        </w:tc>
        <w:tc>
          <w:tcPr>
            <w:tcW w:w="2268"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Identificateur de produit</w:t>
            </w:r>
          </w:p>
        </w:tc>
        <w:tc>
          <w:tcPr>
            <w:tcW w:w="1134"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fr-BE" w:eastAsia="nl-NL" w:bidi="ar-SA"/>
              </w:rPr>
            </w:pPr>
            <w:r>
              <w:rPr>
                <w:rFonts w:cs="Arial"/>
                <w:b/>
                <w:color w:val="0070C0"/>
                <w:sz w:val="18"/>
                <w:szCs w:val="16"/>
                <w:lang w:val="fr-BE" w:eastAsia="fr-FR" w:bidi="ar-SA"/>
              </w:rPr>
              <w:t>%</w:t>
            </w:r>
          </w:p>
        </w:tc>
        <w:tc>
          <w:tcPr>
            <w:tcW w:w="3118" w:type="dxa"/>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Classification selon le règlement (CE) N° 1272/2008 [CLP]</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LINALOL</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CAS</w:t>
            </w:r>
            <w:r>
              <w:rPr>
                <w:rFonts w:cs="Arial"/>
                <w:sz w:val="16"/>
                <w:szCs w:val="12"/>
                <w:lang w:val="en-GB" w:eastAsia="nl-NL" w:bidi="ar-SA"/>
              </w:rPr>
              <w:t xml:space="preserve">: </w:t>
            </w:r>
            <w:r>
              <w:rPr>
                <w:rFonts w:cs="Arial"/>
                <w:sz w:val="16"/>
                <w:szCs w:val="12"/>
                <w:lang w:val="en-GB" w:eastAsia="fr-FR" w:bidi="ar-SA"/>
              </w:rPr>
              <w:t>78-70-6</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CE</w:t>
            </w:r>
            <w:r>
              <w:rPr>
                <w:rFonts w:cs="Arial"/>
                <w:sz w:val="16"/>
                <w:szCs w:val="12"/>
                <w:lang w:val="en-GB" w:eastAsia="nl-NL" w:bidi="ar-SA"/>
              </w:rPr>
              <w:t xml:space="preserve">: </w:t>
            </w:r>
            <w:r>
              <w:rPr>
                <w:rFonts w:cs="Arial"/>
                <w:sz w:val="16"/>
                <w:szCs w:val="12"/>
                <w:lang w:val="en-GB" w:eastAsia="fr-FR" w:bidi="ar-SA"/>
              </w:rPr>
              <w:t>201-134-4</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Index</w:t>
            </w:r>
            <w:r>
              <w:rPr>
                <w:rFonts w:cs="Arial"/>
                <w:sz w:val="16"/>
                <w:szCs w:val="12"/>
                <w:lang w:val="en-GB" w:eastAsia="nl-NL" w:bidi="ar-SA"/>
              </w:rPr>
              <w:t xml:space="preserve">: </w:t>
            </w:r>
            <w:r>
              <w:rPr>
                <w:rFonts w:cs="Arial"/>
                <w:sz w:val="16"/>
                <w:szCs w:val="12"/>
                <w:lang w:val="en-GB" w:eastAsia="fr-FR" w:bidi="ar-SA"/>
              </w:rPr>
              <w:t>603-235-00-2</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REACH</w:t>
            </w:r>
            <w:r>
              <w:rPr>
                <w:rFonts w:cs="Arial"/>
                <w:sz w:val="16"/>
                <w:szCs w:val="12"/>
                <w:lang w:val="en-GB" w:eastAsia="nl-NL" w:bidi="ar-SA"/>
              </w:rPr>
              <w:t xml:space="preserve">: </w:t>
            </w:r>
            <w:r>
              <w:rPr>
                <w:rFonts w:cs="Arial"/>
                <w:sz w:val="16"/>
                <w:szCs w:val="12"/>
                <w:lang w:val="en-GB" w:eastAsia="fr-FR" w:bidi="ar-SA"/>
              </w:rPr>
              <w:t>01-2119474016-42-0000</w:t>
            </w:r>
          </w:p>
        </w:tc>
        <w:tc>
          <w:tcPr>
            <w:tcW w:w="113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1,864292</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Eye Irrit. 2, H319</w:t>
            </w:r>
            <w:r>
              <w:rPr>
                <w:rFonts w:cs="Arial"/>
                <w:sz w:val="16"/>
                <w:szCs w:val="12"/>
                <w:lang w:val="en-GB" w:eastAsia="fr-FR" w:bidi="ar-SA"/>
              </w:rPr>
              <w:br w:type="textWrapping"/>
            </w:r>
            <w:r>
              <w:rPr>
                <w:rFonts w:cs="Arial"/>
                <w:sz w:val="16"/>
                <w:szCs w:val="12"/>
                <w:lang w:val="en-GB" w:eastAsia="fr-FR" w:bidi="ar-SA"/>
              </w:rPr>
              <w:t>Skin Irrit. 2, H315</w:t>
            </w:r>
            <w:r>
              <w:rPr>
                <w:rFonts w:cs="Arial"/>
                <w:sz w:val="16"/>
                <w:szCs w:val="12"/>
                <w:lang w:val="en-GB" w:eastAsia="fr-FR" w:bidi="ar-SA"/>
              </w:rPr>
              <w:br w:type="textWrapping"/>
            </w:r>
            <w:r>
              <w:rPr>
                <w:rFonts w:cs="Arial"/>
                <w:sz w:val="16"/>
                <w:szCs w:val="12"/>
                <w:lang w:val="en-GB" w:eastAsia="fr-FR" w:bidi="ar-SA"/>
              </w:rPr>
              <w:t>Skin Sens. 1B, H317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LIMONENE DROIT (+100)</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CAS</w:t>
            </w:r>
            <w:r>
              <w:rPr>
                <w:rFonts w:cs="Arial"/>
                <w:sz w:val="16"/>
                <w:szCs w:val="12"/>
                <w:lang w:val="en-GB" w:eastAsia="nl-NL" w:bidi="ar-SA"/>
              </w:rPr>
              <w:t xml:space="preserve">: </w:t>
            </w:r>
            <w:r>
              <w:rPr>
                <w:rFonts w:cs="Arial"/>
                <w:sz w:val="16"/>
                <w:szCs w:val="12"/>
                <w:lang w:val="en-GB" w:eastAsia="fr-FR" w:bidi="ar-SA"/>
              </w:rPr>
              <w:t>5989-27-5</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CE</w:t>
            </w:r>
            <w:r>
              <w:rPr>
                <w:rFonts w:cs="Arial"/>
                <w:sz w:val="16"/>
                <w:szCs w:val="12"/>
                <w:lang w:val="en-GB" w:eastAsia="nl-NL" w:bidi="ar-SA"/>
              </w:rPr>
              <w:t xml:space="preserve">: </w:t>
            </w:r>
            <w:r>
              <w:rPr>
                <w:rFonts w:cs="Arial"/>
                <w:sz w:val="16"/>
                <w:szCs w:val="12"/>
                <w:lang w:val="en-GB" w:eastAsia="fr-FR" w:bidi="ar-SA"/>
              </w:rPr>
              <w:t>227-813-5</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Index</w:t>
            </w:r>
            <w:r>
              <w:rPr>
                <w:rFonts w:cs="Arial"/>
                <w:sz w:val="16"/>
                <w:szCs w:val="12"/>
                <w:lang w:val="en-GB" w:eastAsia="nl-NL" w:bidi="ar-SA"/>
              </w:rPr>
              <w:t xml:space="preserve">: </w:t>
            </w:r>
            <w:r>
              <w:rPr>
                <w:rFonts w:cs="Arial"/>
                <w:sz w:val="16"/>
                <w:szCs w:val="12"/>
                <w:lang w:val="en-GB" w:eastAsia="fr-FR" w:bidi="ar-SA"/>
              </w:rPr>
              <w:t>601-096-00-2</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REACH</w:t>
            </w:r>
            <w:r>
              <w:rPr>
                <w:rFonts w:cs="Arial"/>
                <w:sz w:val="16"/>
                <w:szCs w:val="12"/>
                <w:lang w:val="en-GB" w:eastAsia="nl-NL" w:bidi="ar-SA"/>
              </w:rPr>
              <w:t xml:space="preserve">: </w:t>
            </w:r>
            <w:r>
              <w:rPr>
                <w:rFonts w:cs="Arial"/>
                <w:sz w:val="16"/>
                <w:szCs w:val="12"/>
                <w:lang w:val="en-GB" w:eastAsia="fr-FR" w:bidi="ar-SA"/>
              </w:rPr>
              <w:t>01-2119529223-47-0007</w:t>
            </w:r>
          </w:p>
        </w:tc>
        <w:tc>
          <w:tcPr>
            <w:tcW w:w="113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0,74061</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Flam. Liq. 3, H226</w:t>
            </w:r>
            <w:r>
              <w:rPr>
                <w:rFonts w:cs="Arial"/>
                <w:sz w:val="16"/>
                <w:szCs w:val="12"/>
                <w:lang w:val="en-GB" w:eastAsia="fr-FR" w:bidi="ar-SA"/>
              </w:rPr>
              <w:br w:type="textWrapping"/>
            </w:r>
            <w:r>
              <w:rPr>
                <w:rFonts w:cs="Arial"/>
                <w:sz w:val="16"/>
                <w:szCs w:val="12"/>
                <w:lang w:val="en-GB" w:eastAsia="fr-FR" w:bidi="ar-SA"/>
              </w:rPr>
              <w:t>Skin Irrit. 2, H315</w:t>
            </w:r>
            <w:r>
              <w:rPr>
                <w:rFonts w:cs="Arial"/>
                <w:sz w:val="16"/>
                <w:szCs w:val="12"/>
                <w:lang w:val="en-GB" w:eastAsia="fr-FR" w:bidi="ar-SA"/>
              </w:rPr>
              <w:br w:type="textWrapping"/>
            </w:r>
            <w:r>
              <w:rPr>
                <w:rFonts w:cs="Arial"/>
                <w:sz w:val="16"/>
                <w:szCs w:val="12"/>
                <w:lang w:val="en-GB" w:eastAsia="fr-FR" w:bidi="ar-SA"/>
              </w:rPr>
              <w:t>Skin Sens. 1B, H317</w:t>
            </w:r>
            <w:r>
              <w:rPr>
                <w:rFonts w:cs="Arial"/>
                <w:sz w:val="16"/>
                <w:szCs w:val="12"/>
                <w:lang w:val="en-GB" w:eastAsia="fr-FR" w:bidi="ar-SA"/>
              </w:rPr>
              <w:br w:type="textWrapping"/>
            </w:r>
            <w:r>
              <w:rPr>
                <w:rFonts w:cs="Arial"/>
                <w:sz w:val="16"/>
                <w:szCs w:val="12"/>
                <w:lang w:val="en-GB" w:eastAsia="fr-FR" w:bidi="ar-SA"/>
              </w:rPr>
              <w:t>Asp. Tox. 1, H304</w:t>
            </w:r>
            <w:r>
              <w:rPr>
                <w:rFonts w:cs="Arial"/>
                <w:sz w:val="16"/>
                <w:szCs w:val="12"/>
                <w:lang w:val="en-GB" w:eastAsia="fr-FR" w:bidi="ar-SA"/>
              </w:rPr>
              <w:br w:type="textWrapping"/>
            </w:r>
            <w:r>
              <w:rPr>
                <w:rFonts w:cs="Arial"/>
                <w:sz w:val="16"/>
                <w:szCs w:val="12"/>
                <w:lang w:val="en-GB" w:eastAsia="fr-FR" w:bidi="ar-SA"/>
              </w:rPr>
              <w:t>Aquatic Acute 1, H400</w:t>
            </w:r>
            <w:r>
              <w:rPr>
                <w:rFonts w:cs="Arial"/>
                <w:sz w:val="16"/>
                <w:szCs w:val="12"/>
                <w:lang w:val="en-GB" w:eastAsia="fr-FR" w:bidi="ar-SA"/>
              </w:rPr>
              <w:br w:type="textWrapping"/>
            </w:r>
            <w:r>
              <w:rPr>
                <w:rFonts w:cs="Arial"/>
                <w:sz w:val="16"/>
                <w:szCs w:val="12"/>
                <w:lang w:val="en-GB" w:eastAsia="fr-FR" w:bidi="ar-SA"/>
              </w:rPr>
              <w:t>Aquatic Chronic 3, H412</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ACETATE PTBCH</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CAS</w:t>
            </w:r>
            <w:r>
              <w:rPr>
                <w:rFonts w:cs="Arial"/>
                <w:sz w:val="16"/>
                <w:szCs w:val="12"/>
                <w:lang w:val="en-GB" w:eastAsia="nl-NL" w:bidi="ar-SA"/>
              </w:rPr>
              <w:t xml:space="preserve">: </w:t>
            </w:r>
            <w:r>
              <w:rPr>
                <w:rFonts w:cs="Arial"/>
                <w:sz w:val="16"/>
                <w:szCs w:val="12"/>
                <w:lang w:val="en-GB" w:eastAsia="fr-FR" w:bidi="ar-SA"/>
              </w:rPr>
              <w:t>32210-23-4</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CE</w:t>
            </w:r>
            <w:r>
              <w:rPr>
                <w:rFonts w:cs="Arial"/>
                <w:sz w:val="16"/>
                <w:szCs w:val="12"/>
                <w:lang w:val="en-GB" w:eastAsia="nl-NL" w:bidi="ar-SA"/>
              </w:rPr>
              <w:t xml:space="preserve">: </w:t>
            </w:r>
            <w:r>
              <w:rPr>
                <w:rFonts w:cs="Arial"/>
                <w:sz w:val="16"/>
                <w:szCs w:val="12"/>
                <w:lang w:val="en-GB" w:eastAsia="fr-FR" w:bidi="ar-SA"/>
              </w:rPr>
              <w:t>250-954-9</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REACH</w:t>
            </w:r>
            <w:r>
              <w:rPr>
                <w:rFonts w:cs="Arial"/>
                <w:sz w:val="16"/>
                <w:szCs w:val="12"/>
                <w:lang w:val="en-GB" w:eastAsia="nl-NL" w:bidi="ar-SA"/>
              </w:rPr>
              <w:t xml:space="preserve">: </w:t>
            </w:r>
            <w:r>
              <w:rPr>
                <w:rFonts w:cs="Arial"/>
                <w:sz w:val="16"/>
                <w:szCs w:val="12"/>
                <w:lang w:val="en-GB" w:eastAsia="fr-FR" w:bidi="ar-SA"/>
              </w:rPr>
              <w:t>01-2119976286-24-XXXX</w:t>
            </w:r>
          </w:p>
        </w:tc>
        <w:tc>
          <w:tcPr>
            <w:tcW w:w="113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0,56</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Skin Sens. 1B, H317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ALDEHYDE HEXYL CINNAMIQUE</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CAS</w:t>
            </w:r>
            <w:r>
              <w:rPr>
                <w:rFonts w:cs="Arial"/>
                <w:sz w:val="16"/>
                <w:szCs w:val="12"/>
                <w:lang w:val="en-GB" w:eastAsia="nl-NL" w:bidi="ar-SA"/>
              </w:rPr>
              <w:t xml:space="preserve">: </w:t>
            </w:r>
            <w:r>
              <w:rPr>
                <w:rFonts w:cs="Arial"/>
                <w:sz w:val="16"/>
                <w:szCs w:val="12"/>
                <w:lang w:val="en-GB" w:eastAsia="fr-FR" w:bidi="ar-SA"/>
              </w:rPr>
              <w:t>101-86-0</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CE</w:t>
            </w:r>
            <w:r>
              <w:rPr>
                <w:rFonts w:cs="Arial"/>
                <w:sz w:val="16"/>
                <w:szCs w:val="12"/>
                <w:lang w:val="en-GB" w:eastAsia="nl-NL" w:bidi="ar-SA"/>
              </w:rPr>
              <w:t xml:space="preserve">: </w:t>
            </w:r>
            <w:r>
              <w:rPr>
                <w:rFonts w:cs="Arial"/>
                <w:sz w:val="16"/>
                <w:szCs w:val="12"/>
                <w:lang w:val="en-GB" w:eastAsia="fr-FR" w:bidi="ar-SA"/>
              </w:rPr>
              <w:t>202-983-3</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REACH</w:t>
            </w:r>
            <w:r>
              <w:rPr>
                <w:rFonts w:cs="Arial"/>
                <w:sz w:val="16"/>
                <w:szCs w:val="12"/>
                <w:lang w:val="en-GB" w:eastAsia="nl-NL" w:bidi="ar-SA"/>
              </w:rPr>
              <w:t xml:space="preserve">: </w:t>
            </w:r>
            <w:r>
              <w:rPr>
                <w:rFonts w:cs="Arial"/>
                <w:sz w:val="16"/>
                <w:szCs w:val="12"/>
                <w:lang w:val="en-GB" w:eastAsia="fr-FR" w:bidi="ar-SA"/>
              </w:rPr>
              <w:t>01-2119533092-50</w:t>
            </w:r>
          </w:p>
        </w:tc>
        <w:tc>
          <w:tcPr>
            <w:tcW w:w="113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0,56</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Aquatic Acute 1, H400</w:t>
            </w:r>
            <w:r>
              <w:rPr>
                <w:rFonts w:cs="Arial"/>
                <w:sz w:val="16"/>
                <w:szCs w:val="12"/>
                <w:lang w:val="en-GB" w:eastAsia="fr-FR" w:bidi="ar-SA"/>
              </w:rPr>
              <w:br w:type="textWrapping"/>
            </w:r>
            <w:r>
              <w:rPr>
                <w:rFonts w:cs="Arial"/>
                <w:sz w:val="16"/>
                <w:szCs w:val="12"/>
                <w:lang w:val="en-GB" w:eastAsia="fr-FR" w:bidi="ar-SA"/>
              </w:rPr>
              <w:t>Aquatic Chronic 2, H411</w:t>
            </w:r>
            <w:r>
              <w:rPr>
                <w:rFonts w:cs="Arial"/>
                <w:sz w:val="16"/>
                <w:szCs w:val="12"/>
                <w:lang w:val="en-GB" w:eastAsia="fr-FR" w:bidi="ar-SA"/>
              </w:rPr>
              <w:br w:type="textWrapping"/>
            </w:r>
            <w:r>
              <w:rPr>
                <w:rFonts w:cs="Arial"/>
                <w:sz w:val="16"/>
                <w:szCs w:val="12"/>
                <w:lang w:val="en-GB" w:eastAsia="fr-FR" w:bidi="ar-SA"/>
              </w:rPr>
              <w:t>Skin Sens. 1B, H317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DAMACENONE</w:t>
            </w:r>
          </w:p>
        </w:tc>
        <w:tc>
          <w:tcPr>
            <w:tcW w:w="226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CAS</w:t>
            </w:r>
            <w:r>
              <w:rPr>
                <w:rFonts w:cs="Arial"/>
                <w:sz w:val="16"/>
                <w:szCs w:val="12"/>
                <w:lang w:val="en-GB" w:eastAsia="nl-NL" w:bidi="ar-SA"/>
              </w:rPr>
              <w:t xml:space="preserve">: </w:t>
            </w:r>
            <w:r>
              <w:rPr>
                <w:rFonts w:cs="Arial"/>
                <w:sz w:val="16"/>
                <w:szCs w:val="12"/>
                <w:lang w:val="en-GB" w:eastAsia="fr-FR" w:bidi="ar-SA"/>
              </w:rPr>
              <w:t>23696-85-7</w:t>
            </w:r>
          </w:p>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 CE</w:t>
            </w:r>
            <w:r>
              <w:rPr>
                <w:rFonts w:cs="Arial"/>
                <w:sz w:val="16"/>
                <w:szCs w:val="12"/>
                <w:lang w:val="en-GB" w:eastAsia="nl-NL" w:bidi="ar-SA"/>
              </w:rPr>
              <w:t xml:space="preserve">: </w:t>
            </w:r>
            <w:r>
              <w:rPr>
                <w:rFonts w:cs="Arial"/>
                <w:sz w:val="16"/>
                <w:szCs w:val="12"/>
                <w:lang w:val="en-GB" w:eastAsia="fr-FR" w:bidi="ar-SA"/>
              </w:rPr>
              <w:t>245-833-2</w:t>
            </w:r>
          </w:p>
        </w:tc>
        <w:tc>
          <w:tcPr>
            <w:tcW w:w="113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0,015</w:t>
            </w:r>
          </w:p>
        </w:tc>
        <w:tc>
          <w:tcPr>
            <w:tcW w:w="3118"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Aquatic Chronic 2, H411</w:t>
            </w:r>
            <w:r>
              <w:rPr>
                <w:rFonts w:cs="Arial"/>
                <w:sz w:val="16"/>
                <w:szCs w:val="12"/>
                <w:lang w:val="en-GB" w:eastAsia="fr-FR" w:bidi="ar-SA"/>
              </w:rPr>
              <w:br w:type="textWrapping"/>
            </w:r>
            <w:r>
              <w:rPr>
                <w:rFonts w:cs="Arial"/>
                <w:sz w:val="16"/>
                <w:szCs w:val="12"/>
                <w:lang w:val="en-GB" w:eastAsia="fr-FR" w:bidi="ar-SA"/>
              </w:rPr>
              <w:t>Skin Irrit. 2, H315</w:t>
            </w:r>
            <w:r>
              <w:rPr>
                <w:rFonts w:cs="Arial"/>
                <w:sz w:val="16"/>
                <w:szCs w:val="12"/>
                <w:lang w:val="en-GB" w:eastAsia="fr-FR" w:bidi="ar-SA"/>
              </w:rPr>
              <w:br w:type="textWrapping"/>
            </w:r>
            <w:r>
              <w:rPr>
                <w:rFonts w:cs="Arial"/>
                <w:sz w:val="16"/>
                <w:szCs w:val="12"/>
                <w:lang w:val="en-GB" w:eastAsia="fr-FR" w:bidi="ar-SA"/>
              </w:rPr>
              <w:t>Skin Sens. 1A, H317</w:t>
            </w:r>
          </w:p>
        </w:tc>
      </w:tr>
    </w:tbl>
    <w:p>
      <w:pPr>
        <w:pStyle w:val="38"/>
      </w:pPr>
      <w:r>
        <w:t>Texte intégral des mentions H et EUH : voir rubrique 16</w:t>
      </w:r>
    </w:p>
    <w:p>
      <w:pPr>
        <w:pStyle w:val="40"/>
        <w:rPr>
          <w:lang w:val="fr-BE"/>
        </w:rPr>
      </w:pPr>
      <w:r>
        <w:rPr>
          <w:lang w:val="fr-BE" w:eastAsia="fr-FR"/>
        </w:rPr>
        <w:t>RUBRIQUE 4</w:t>
      </w:r>
      <w:r>
        <w:rPr>
          <w:lang w:val="fr-BE"/>
        </w:rPr>
        <w:t xml:space="preserve">: </w:t>
      </w:r>
      <w:r>
        <w:rPr>
          <w:lang w:val="fr-BE" w:eastAsia="fr-FR"/>
        </w:rPr>
        <w:t>Premiers secours</w:t>
      </w:r>
    </w:p>
    <w:p>
      <w:pPr>
        <w:pStyle w:val="41"/>
        <w:rPr>
          <w:lang w:val="fr-BE"/>
        </w:rPr>
      </w:pPr>
      <w:r>
        <w:rPr>
          <w:lang w:val="fr-BE"/>
        </w:rPr>
        <w:t xml:space="preserve">4.1. </w:t>
      </w:r>
      <w:r>
        <w:rPr>
          <w:lang w:val="fr-BE" w:eastAsia="fr-FR"/>
        </w:rPr>
        <w:t>Description des mesures de premiers secours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Premiers soins général</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Ne jamais administrer quelque chose par la bouche à une personne inconsciente. En cas de malaise consulter un médecin (si possible lui montrer l’étiquette).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Premiers soins après inhalation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Permettre au sujet de respirer de l’air frais. Mettre la victime au repos.</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Premiers soins après contact avec la peau</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Premiers soins après contact oculaire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Rincer immédiatement et abondamment à l’eau. Consulter un médecin si la douleur ou la rougeur persistent.</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Premiers soins après ingestion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Rincer la bouche. NE PAS faire vomir. Consulter d’urgence un médecin.</w:t>
            </w:r>
          </w:p>
        </w:tc>
      </w:tr>
    </w:tbl>
    <w:p>
      <w:pPr>
        <w:pStyle w:val="41"/>
        <w:rPr>
          <w:lang w:val="en-GB"/>
        </w:rPr>
      </w:pPr>
      <w:r>
        <w:rPr>
          <w:lang w:val="en-GB"/>
        </w:rPr>
        <w:t xml:space="preserve">4.2. </w:t>
      </w:r>
      <w:r>
        <w:rPr>
          <w:lang w:val="en-GB" w:eastAsia="fr-FR"/>
        </w:rPr>
        <w:t>Principaux symptômes et effets, aigus et différés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Symptômes/effets après inhalation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Peut provoquer une allergie cutanée.</w:t>
            </w:r>
          </w:p>
        </w:tc>
      </w:tr>
    </w:tbl>
    <w:p>
      <w:pPr>
        <w:pStyle w:val="41"/>
        <w:rPr>
          <w:lang w:val="en-GB"/>
        </w:rPr>
      </w:pPr>
      <w:r>
        <w:rPr>
          <w:lang w:val="en-GB"/>
        </w:rPr>
        <w:t xml:space="preserve">4.3. </w:t>
      </w:r>
      <w:r>
        <w:rPr>
          <w:lang w:val="en-GB" w:eastAsia="fr-FR"/>
        </w:rPr>
        <w:t>Indication des éventuels soins médicaux immédiats et traitements particuliers nécessaires</w:t>
      </w:r>
    </w:p>
    <w:p>
      <w:pPr>
        <w:pStyle w:val="38"/>
        <w:bidi w:val="0"/>
      </w:pPr>
      <w:r>
        <w:t>Pas d’informations complémentaires disponibles</w:t>
      </w:r>
    </w:p>
    <w:p>
      <w:pPr>
        <w:pStyle w:val="40"/>
        <w:rPr>
          <w:lang w:val="fr-BE"/>
        </w:rPr>
      </w:pPr>
      <w:r>
        <w:rPr>
          <w:lang w:val="fr-BE" w:eastAsia="fr-FR"/>
        </w:rPr>
        <w:t>RUBRIQUE 5</w:t>
      </w:r>
      <w:r>
        <w:rPr>
          <w:lang w:val="fr-BE"/>
        </w:rPr>
        <w:t xml:space="preserve">: </w:t>
      </w:r>
      <w:r>
        <w:rPr>
          <w:lang w:val="fr-BE" w:eastAsia="fr-FR"/>
        </w:rPr>
        <w:t>Mesures de lutte contre l’incendie</w:t>
      </w:r>
    </w:p>
    <w:p>
      <w:pPr>
        <w:pStyle w:val="41"/>
        <w:rPr>
          <w:lang w:val="fr-BE"/>
        </w:rPr>
      </w:pPr>
      <w:r>
        <w:rPr>
          <w:lang w:val="fr-BE"/>
        </w:rPr>
        <w:t xml:space="preserve">5.1. </w:t>
      </w:r>
      <w:r>
        <w:rPr>
          <w:lang w:val="fr-BE" w:eastAsia="fr-FR"/>
        </w:rPr>
        <w:t>Moyens d’extinction</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Moyens d’extinction appropriés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Mousse. Poudre sèche. Dioxyde de carbone. Eau pulvérisée. Sable.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Agents d’extinction non appropriés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Ne pas utiliser un fort courant d’eau.</w:t>
            </w:r>
          </w:p>
        </w:tc>
      </w:tr>
    </w:tbl>
    <w:p>
      <w:pPr>
        <w:pStyle w:val="41"/>
        <w:rPr>
          <w:lang w:val="en-GB"/>
        </w:rPr>
      </w:pPr>
      <w:r>
        <w:rPr>
          <w:lang w:val="en-GB"/>
        </w:rPr>
        <w:t xml:space="preserve">5.2. </w:t>
      </w:r>
      <w:r>
        <w:rPr>
          <w:lang w:val="en-GB" w:eastAsia="fr-FR"/>
        </w:rPr>
        <w:t>Dangers particuliers résultant de la substance ou du mélange</w:t>
      </w:r>
    </w:p>
    <w:p>
      <w:pPr>
        <w:pStyle w:val="38"/>
        <w:bidi w:val="0"/>
      </w:pPr>
      <w:r>
        <w:t>Pas d’informations complémentaires disponibles</w:t>
      </w:r>
    </w:p>
    <w:p>
      <w:pPr>
        <w:pStyle w:val="41"/>
        <w:rPr>
          <w:lang w:val="en-GB"/>
        </w:rPr>
      </w:pPr>
      <w:r>
        <w:rPr>
          <w:lang w:val="en-GB"/>
        </w:rPr>
        <w:t xml:space="preserve">5.3. </w:t>
      </w:r>
      <w:r>
        <w:rPr>
          <w:lang w:val="en-GB" w:eastAsia="fr-FR"/>
        </w:rPr>
        <w:t>Conseils aux pompiers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Instructions de lutte contre l’incendie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Refroidir les conteneurs exposés par pulvérisation ou brouillard d’eau. Soyez prudent lors du combat de tout incendie de produits chimiques. Eviter que les eaux usées de lutte contre l’incendie contaminent l’environnement.</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Protection en cas d’incendie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Ne pas pénétrer dans la zone de feu sans équipement de protection, y compris une protection respiratoire.</w:t>
            </w:r>
          </w:p>
        </w:tc>
      </w:tr>
    </w:tbl>
    <w:p>
      <w:pPr>
        <w:pStyle w:val="40"/>
        <w:rPr>
          <w:lang w:val="fr-BE"/>
        </w:rPr>
      </w:pPr>
      <w:r>
        <w:rPr>
          <w:lang w:val="fr-BE" w:eastAsia="fr-FR"/>
        </w:rPr>
        <w:t>RUBRIQUE 6</w:t>
      </w:r>
      <w:r>
        <w:rPr>
          <w:lang w:val="fr-BE"/>
        </w:rPr>
        <w:t xml:space="preserve">: </w:t>
      </w:r>
      <w:r>
        <w:rPr>
          <w:lang w:val="fr-BE" w:eastAsia="fr-FR"/>
        </w:rPr>
        <w:t>Mesures à prendre en cas de dispersion accidentelle</w:t>
      </w:r>
    </w:p>
    <w:p>
      <w:pPr>
        <w:pStyle w:val="41"/>
        <w:rPr>
          <w:lang w:val="fr-BE"/>
        </w:rPr>
      </w:pPr>
      <w:r>
        <w:rPr>
          <w:lang w:val="fr-BE"/>
        </w:rPr>
        <w:t xml:space="preserve">6.1. </w:t>
      </w:r>
      <w:r>
        <w:rPr>
          <w:lang w:val="fr-BE" w:eastAsia="fr-FR"/>
        </w:rPr>
        <w:t>Précautions individuelles, équipement de protection et procédures d’urgence</w:t>
      </w:r>
    </w:p>
    <w:p>
      <w:pPr>
        <w:pStyle w:val="42"/>
      </w:pPr>
      <w:r>
        <w:t>6.1.1. Pour les non-secouristes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Procédures d’urgence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Eloigner le personnel superflu.</w:t>
            </w:r>
          </w:p>
        </w:tc>
      </w:tr>
    </w:tbl>
    <w:p>
      <w:pPr>
        <w:pStyle w:val="42"/>
      </w:pPr>
      <w:r>
        <w:t>6.1.2. Pour les secouristes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Equipement de protection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Fournir une protection adéquate aux équipes de nettoyage.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Procédures d’urgence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Aérer la zone.</w:t>
            </w:r>
          </w:p>
        </w:tc>
      </w:tr>
    </w:tbl>
    <w:p>
      <w:pPr>
        <w:pStyle w:val="41"/>
        <w:rPr>
          <w:lang w:val="en-GB"/>
        </w:rPr>
      </w:pPr>
      <w:r>
        <w:rPr>
          <w:lang w:val="en-GB"/>
        </w:rPr>
        <w:t xml:space="preserve">6.2. </w:t>
      </w:r>
      <w:r>
        <w:rPr>
          <w:lang w:val="en-GB" w:eastAsia="fr-FR"/>
        </w:rPr>
        <w:t>Précautions pour la protection de l’environnement</w:t>
      </w:r>
    </w:p>
    <w:p>
      <w:pPr>
        <w:pStyle w:val="38"/>
      </w:pPr>
      <w:r>
        <w:t>Eviter la pénétration dans les égouts et les eaux potables. Avertir les autorités si le liquide pénètre dans les égouts ou dans les eaux du domaine public.</w:t>
      </w:r>
    </w:p>
    <w:p>
      <w:pPr>
        <w:pStyle w:val="41"/>
        <w:rPr>
          <w:lang w:val="en-GB"/>
        </w:rPr>
      </w:pPr>
      <w:r>
        <w:rPr>
          <w:lang w:val="en-GB"/>
        </w:rPr>
        <w:t xml:space="preserve">6.3. </w:t>
      </w:r>
      <w:r>
        <w:rPr>
          <w:lang w:val="en-GB" w:eastAsia="fr-FR"/>
        </w:rPr>
        <w:t>Méthodes et matériel de confinement et de nettoyage</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Procédés de nettoyage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Sur le sol, balayer ou pelleter dans des conteneurs de rejet adéquats. Réduire à un minimum la production de poussières. Stocker à l’écart des autres matières.</w:t>
            </w:r>
          </w:p>
        </w:tc>
      </w:tr>
    </w:tbl>
    <w:p>
      <w:pPr>
        <w:pStyle w:val="41"/>
        <w:rPr>
          <w:lang w:val="en-US"/>
        </w:rPr>
      </w:pPr>
      <w:r>
        <w:rPr>
          <w:lang w:val="en-GB"/>
        </w:rPr>
        <w:t xml:space="preserve">6.4. </w:t>
      </w:r>
      <w:r>
        <w:rPr>
          <w:lang w:val="en-US" w:eastAsia="fr-FR"/>
        </w:rPr>
        <w:t>Référence à d’autres rubriques</w:t>
      </w:r>
    </w:p>
    <w:p>
      <w:pPr>
        <w:pStyle w:val="38"/>
        <w:rPr>
          <w:lang w:val="fr-BE"/>
        </w:rPr>
      </w:pPr>
      <w:r>
        <w:rPr>
          <w:lang w:val="fr-BE" w:eastAsia="fr-FR"/>
        </w:rPr>
        <w:t>Voir rubrique 8. Contrôle de l’exposition/protection individuelle.</w:t>
      </w:r>
    </w:p>
    <w:p>
      <w:pPr>
        <w:pStyle w:val="40"/>
        <w:rPr>
          <w:lang w:val="fr-BE"/>
        </w:rPr>
      </w:pPr>
      <w:r>
        <w:rPr>
          <w:lang w:val="fr-BE" w:eastAsia="fr-FR"/>
        </w:rPr>
        <w:t>RUBRIQUE 7</w:t>
      </w:r>
      <w:r>
        <w:rPr>
          <w:lang w:val="fr-BE"/>
        </w:rPr>
        <w:t xml:space="preserve">: </w:t>
      </w:r>
      <w:r>
        <w:rPr>
          <w:lang w:val="fr-BE" w:eastAsia="fr-FR"/>
        </w:rPr>
        <w:t>Manipulation et stockage</w:t>
      </w:r>
    </w:p>
    <w:p>
      <w:pPr>
        <w:pStyle w:val="41"/>
        <w:rPr>
          <w:lang w:val="fr-BE"/>
        </w:rPr>
      </w:pPr>
      <w:r>
        <w:rPr>
          <w:lang w:val="fr-BE"/>
        </w:rPr>
        <w:t xml:space="preserve">7.1. </w:t>
      </w:r>
      <w:r>
        <w:rPr>
          <w:lang w:val="fr-BE" w:eastAsia="fr-FR"/>
        </w:rPr>
        <w:t>Précautions à prendre pour une manipulation sans danger</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Précautions à prendre pour une manipulation sans danger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Mesures d’hygiène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Les vêtements de travail contaminés ne devraient pas sortir du lieu de travail. Laver les vêtements contaminés avant réutilisation.</w:t>
            </w:r>
          </w:p>
        </w:tc>
      </w:tr>
    </w:tbl>
    <w:p>
      <w:pPr>
        <w:pStyle w:val="41"/>
        <w:rPr>
          <w:lang w:val="en-GB"/>
        </w:rPr>
      </w:pPr>
      <w:r>
        <w:rPr>
          <w:lang w:val="en-GB"/>
        </w:rPr>
        <w:t xml:space="preserve">7.2. </w:t>
      </w:r>
      <w:r>
        <w:rPr>
          <w:lang w:val="en-GB" w:eastAsia="fr-FR"/>
        </w:rPr>
        <w:t>Conditions d’un stockage sûr, y compris les éventuelles incompatibilités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Conditions de stockage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Conserver uniquement dans le récipient d’origine dans un endroit frais et bien ventilé à l’écart des : Garder les conteneurs fermés en dehors de leur utilisation.</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Produits incompatibles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Bases fortes. Acides forts.</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Matières incompatibles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Sources d’inflammation. Rayons directs du soleil.</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Durée de stockage maximale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6 mois</w:t>
            </w:r>
          </w:p>
        </w:tc>
      </w:tr>
    </w:tbl>
    <w:p>
      <w:pPr>
        <w:pStyle w:val="41"/>
        <w:rPr>
          <w:lang w:val="en-GB"/>
        </w:rPr>
      </w:pPr>
      <w:r>
        <w:rPr>
          <w:lang w:val="en-GB"/>
        </w:rPr>
        <w:t xml:space="preserve">7.3. </w:t>
      </w:r>
      <w:r>
        <w:rPr>
          <w:lang w:val="en-GB" w:eastAsia="fr-FR"/>
        </w:rPr>
        <w:t>Utilisation(s) finale(s) particulière(s)</w:t>
      </w:r>
    </w:p>
    <w:p>
      <w:pPr>
        <w:pStyle w:val="38"/>
        <w:bidi w:val="0"/>
      </w:pPr>
      <w:r>
        <w:t>Pas d’informations complémentaires disponibles</w:t>
      </w:r>
    </w:p>
    <w:p>
      <w:pPr>
        <w:pStyle w:val="40"/>
        <w:rPr>
          <w:lang w:val="fr-BE"/>
        </w:rPr>
      </w:pPr>
      <w:r>
        <w:rPr>
          <w:lang w:val="fr-BE" w:eastAsia="fr-FR"/>
        </w:rPr>
        <w:t>RUBRIQUE 8</w:t>
      </w:r>
      <w:r>
        <w:rPr>
          <w:lang w:val="fr-BE"/>
        </w:rPr>
        <w:t xml:space="preserve">: </w:t>
      </w:r>
      <w:r>
        <w:rPr>
          <w:lang w:val="fr-BE" w:eastAsia="fr-FR"/>
        </w:rPr>
        <w:t>Contrôles de l’exposition/protection individuelle</w:t>
      </w:r>
    </w:p>
    <w:p>
      <w:pPr>
        <w:pStyle w:val="41"/>
        <w:rPr>
          <w:lang w:val="fr-BE"/>
        </w:rPr>
      </w:pPr>
      <w:r>
        <w:rPr>
          <w:lang w:val="fr-BE"/>
        </w:rPr>
        <w:t xml:space="preserve">8.1. </w:t>
      </w:r>
      <w:r>
        <w:rPr>
          <w:lang w:val="fr-BE" w:eastAsia="fr-FR"/>
        </w:rPr>
        <w:t>Paramètres de contrôle</w:t>
      </w:r>
    </w:p>
    <w:p>
      <w:pPr>
        <w:pStyle w:val="42"/>
        <w:rPr>
          <w:lang w:val="en-US"/>
        </w:rPr>
      </w:pPr>
      <w:r>
        <w:rPr>
          <w:lang w:val="en-US"/>
        </w:rPr>
        <w:t xml:space="preserve">8.1.1 </w:t>
      </w:r>
      <w:bookmarkStart w:id="1" w:name="_Hlk54076387"/>
      <w:r>
        <w:rPr>
          <w:lang w:val="en-US" w:eastAsia="fr-FR"/>
        </w:rPr>
        <w:t>Valeurs limites nationales d’exposition professionnelle et biologiques</w:t>
      </w:r>
      <w:bookmarkEnd w:id="1"/>
    </w:p>
    <w:p>
      <w:pPr>
        <w:pStyle w:val="38"/>
        <w:bidi w:val="0"/>
      </w:pPr>
      <w:r>
        <w:t>Pas d’informations complémentaires disponibles</w:t>
      </w:r>
    </w:p>
    <w:p>
      <w:pPr>
        <w:pStyle w:val="42"/>
      </w:pPr>
      <w:r>
        <w:t xml:space="preserve">8.1.2. </w:t>
      </w:r>
      <w:bookmarkStart w:id="2" w:name="_Hlk54076527"/>
      <w:r>
        <w:t>Procédures de suivi recommandées</w:t>
      </w:r>
      <w:bookmarkEnd w:id="2"/>
    </w:p>
    <w:p>
      <w:pPr>
        <w:pStyle w:val="38"/>
        <w:bidi w:val="0"/>
      </w:pPr>
      <w:r>
        <w:t>Pas d’informations complémentaires disponibles</w:t>
      </w:r>
    </w:p>
    <w:p>
      <w:pPr>
        <w:pStyle w:val="42"/>
      </w:pPr>
      <w:r>
        <w:t xml:space="preserve">8.1.3. </w:t>
      </w:r>
      <w:bookmarkStart w:id="3" w:name="_Hlk54076613"/>
      <w:r>
        <w:t>Contaminants atmosphériques formés</w:t>
      </w:r>
      <w:bookmarkEnd w:id="3"/>
    </w:p>
    <w:p>
      <w:pPr>
        <w:pStyle w:val="38"/>
        <w:bidi w:val="0"/>
      </w:pPr>
      <w:r>
        <w:t>Pas d’informations complémentaires disponibles</w:t>
      </w:r>
    </w:p>
    <w:p>
      <w:pPr>
        <w:pStyle w:val="42"/>
      </w:pPr>
      <w:r>
        <w:t xml:space="preserve">8.1.4. </w:t>
      </w:r>
      <w:bookmarkStart w:id="4" w:name="_Hlk54076910"/>
      <w:r>
        <w:t>DNEL et PNEC</w:t>
      </w:r>
      <w:bookmarkEnd w:id="4"/>
    </w:p>
    <w:p>
      <w:pPr>
        <w:pStyle w:val="38"/>
        <w:bidi w:val="0"/>
      </w:pPr>
      <w:r>
        <w:t>Pas d’informations complémentaires disponibles</w:t>
      </w:r>
    </w:p>
    <w:p>
      <w:pPr>
        <w:pStyle w:val="42"/>
      </w:pPr>
      <w:r>
        <w:t xml:space="preserve">8.1.5. </w:t>
      </w:r>
      <w:bookmarkStart w:id="5" w:name="_Hlk54076968"/>
      <w:r>
        <w:t>Bande de contrôle</w:t>
      </w:r>
      <w:bookmarkEnd w:id="5"/>
    </w:p>
    <w:p>
      <w:pPr>
        <w:pStyle w:val="38"/>
        <w:bidi w:val="0"/>
      </w:pPr>
      <w:r>
        <w:t>Pas d’informations complémentaires disponibles</w:t>
      </w:r>
    </w:p>
    <w:p>
      <w:pPr>
        <w:pStyle w:val="41"/>
        <w:rPr>
          <w:lang w:val="fr-BE"/>
        </w:rPr>
      </w:pPr>
      <w:r>
        <w:rPr>
          <w:lang w:val="fr-BE"/>
        </w:rPr>
        <w:t xml:space="preserve">8.2. </w:t>
      </w:r>
      <w:r>
        <w:rPr>
          <w:lang w:val="fr-BE" w:eastAsia="fr-FR"/>
        </w:rPr>
        <w:t>Contrôles de l’exposition</w:t>
      </w:r>
    </w:p>
    <w:p>
      <w:pPr>
        <w:pStyle w:val="42"/>
        <w:rPr>
          <w:lang w:val="fr-BE"/>
        </w:rPr>
      </w:pPr>
      <w:r>
        <w:rPr>
          <w:lang w:val="fr-BE"/>
        </w:rPr>
        <w:t xml:space="preserve">8.2.1. </w:t>
      </w:r>
      <w:r>
        <w:rPr>
          <w:lang w:val="fr-BE" w:eastAsia="fr-FR"/>
        </w:rPr>
        <w:t>Contrôles techniques appropriés</w:t>
      </w:r>
    </w:p>
    <w:p>
      <w:pPr>
        <w:pStyle w:val="38"/>
        <w:bidi w:val="0"/>
      </w:pPr>
      <w:r>
        <w:t>Pas d’informations complémentaires disponibles</w:t>
      </w:r>
    </w:p>
    <w:p>
      <w:pPr>
        <w:pStyle w:val="42"/>
      </w:pPr>
      <w:r>
        <w:t>8.2.2. Équipements de protection individuelle</w:t>
      </w:r>
    </w:p>
    <w:tbl>
      <w:tblPr>
        <w:tblStyle w:val="9"/>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tcPr>
          <w:p>
            <w:pPr>
              <w:pStyle w:val="33"/>
              <w:keepNext/>
              <w:keepLines/>
              <w:spacing w:before="40" w:after="0" w:line="288" w:lineRule="auto"/>
            </w:pPr>
            <w:r>
              <w:rPr>
                <w:rFonts w:cs="Arial"/>
                <w:b/>
                <w:sz w:val="16"/>
                <w:szCs w:val="12"/>
                <w:lang w:val="en-GB" w:eastAsia="fr-FR" w:bidi="ar-SA"/>
              </w:rPr>
              <w:t>Equipement de protection individuelle</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8"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Eviter toute exposition inutile.</w:t>
            </w:r>
          </w:p>
        </w:tc>
      </w:tr>
      <w:tr>
        <w:tblPrEx>
          <w:tblCellMar>
            <w:top w:w="0" w:type="dxa"/>
            <w:left w:w="0" w:type="dxa"/>
            <w:bottom w:w="0" w:type="dxa"/>
            <w:right w:w="0" w:type="dxa"/>
          </w:tblCellMar>
        </w:tblPrEx>
        <w:trPr>
          <w:cantSplit/>
        </w:trPr>
        <w:tc>
          <w:tcPr>
            <w:tcW w:w="10488" w:type="dxa"/>
          </w:tcPr>
          <w:p>
            <w:pPr>
              <w:pStyle w:val="33"/>
              <w:keepNext/>
              <w:keepLines/>
              <w:spacing w:before="40" w:after="0" w:line="288" w:lineRule="auto"/>
            </w:pPr>
            <w:r>
              <w:rPr>
                <w:rFonts w:cs="Arial"/>
                <w:b/>
                <w:sz w:val="16"/>
                <w:szCs w:val="12"/>
                <w:lang w:val="en-GB" w:eastAsia="fr-FR" w:bidi="ar-SA"/>
              </w:rPr>
              <w:t>Symbole(s) de l’équipement de protection individuelle</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8" w:type="dxa"/>
          </w:tcPr>
          <w:p>
            <w:pPr>
              <w:pStyle w:val="32"/>
              <w:keepLines/>
              <w:spacing w:line="288" w:lineRule="auto"/>
              <w:rPr>
                <w:rFonts w:ascii="Arial" w:hAnsi="Arial" w:cs="Arial"/>
                <w:b/>
                <w:bCs/>
                <w:sz w:val="16"/>
                <w:szCs w:val="12"/>
                <w:lang w:val="en-GB" w:eastAsia="nl-NL" w:bidi="ar-SA"/>
              </w:rPr>
            </w:pPr>
            <w:r>
              <w:drawing>
                <wp:inline distT="0" distB="0" distL="0" distR="0">
                  <wp:extent cx="635000" cy="6350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6" t="-6" r="-6" b="-6"/>
                          <a:stretch>
                            <a:fillRect/>
                          </a:stretch>
                        </pic:blipFill>
                        <pic:spPr>
                          <a:xfrm>
                            <a:off x="0" y="0"/>
                            <a:ext cx="635000" cy="635000"/>
                          </a:xfrm>
                          <a:prstGeom prst="rect">
                            <a:avLst/>
                          </a:prstGeom>
                        </pic:spPr>
                      </pic:pic>
                    </a:graphicData>
                  </a:graphic>
                </wp:inline>
              </w:drawing>
            </w:r>
          </w:p>
        </w:tc>
      </w:tr>
    </w:tbl>
    <w:p>
      <w:pPr>
        <w:pStyle w:val="43"/>
      </w:pPr>
      <w:r>
        <w:t>8.2.2.1. Protection des yeux et du visage</w:t>
      </w:r>
    </w:p>
    <w:tbl>
      <w:tblPr>
        <w:tblStyle w:val="9"/>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tcPr>
          <w:p>
            <w:pPr>
              <w:pStyle w:val="33"/>
              <w:keepNext/>
              <w:keepLines/>
              <w:spacing w:before="40" w:after="0" w:line="288" w:lineRule="auto"/>
            </w:pPr>
            <w:r>
              <w:rPr>
                <w:rFonts w:cs="Arial"/>
                <w:b/>
                <w:sz w:val="16"/>
                <w:szCs w:val="12"/>
                <w:lang w:val="en-GB" w:eastAsia="fr-FR" w:bidi="ar-SA"/>
              </w:rPr>
              <w:t>Protection oculaire</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9"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Lunettes anti-éclaboussures ou lunettes de sécurité</w:t>
            </w:r>
          </w:p>
        </w:tc>
      </w:tr>
    </w:tbl>
    <w:p>
      <w:pPr>
        <w:pStyle w:val="43"/>
      </w:pPr>
      <w:r>
        <w:t>8.2.2.2. Protection de la peau</w:t>
      </w:r>
    </w:p>
    <w:tbl>
      <w:tblPr>
        <w:tblStyle w:val="9"/>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tcPr>
          <w:p>
            <w:pPr>
              <w:pStyle w:val="33"/>
              <w:keepNext/>
              <w:keepLines/>
              <w:spacing w:before="40" w:after="0" w:line="288" w:lineRule="auto"/>
            </w:pPr>
            <w:r>
              <w:rPr>
                <w:rFonts w:cs="Arial"/>
                <w:b/>
                <w:sz w:val="16"/>
                <w:szCs w:val="12"/>
                <w:lang w:val="en-GB" w:eastAsia="fr-FR" w:bidi="ar-SA"/>
              </w:rPr>
              <w:t>Protection des mains</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8"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Porter des gants de protection.</w:t>
            </w:r>
          </w:p>
        </w:tc>
      </w:tr>
    </w:tbl>
    <w:p>
      <w:pPr>
        <w:pStyle w:val="43"/>
      </w:pPr>
      <w:r>
        <w:t>8.2.2.3. Protection des voies respiratoires</w:t>
      </w:r>
    </w:p>
    <w:tbl>
      <w:tblPr>
        <w:tblStyle w:val="9"/>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tcPr>
          <w:p>
            <w:pPr>
              <w:pStyle w:val="33"/>
              <w:keepNext/>
              <w:keepLines/>
              <w:spacing w:before="40" w:after="0" w:line="288" w:lineRule="auto"/>
            </w:pPr>
            <w:r>
              <w:rPr>
                <w:rFonts w:cs="Arial"/>
                <w:b/>
                <w:sz w:val="16"/>
                <w:szCs w:val="12"/>
                <w:lang w:val="en-GB" w:eastAsia="fr-FR" w:bidi="ar-SA"/>
              </w:rPr>
              <w:t>Protection des voies respiratoires</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9"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Porter un masque approprié</w:t>
            </w:r>
          </w:p>
        </w:tc>
      </w:tr>
    </w:tbl>
    <w:p>
      <w:pPr>
        <w:pStyle w:val="43"/>
      </w:pPr>
      <w:r>
        <w:t>8.2.2.4. Protection contre les risques thermiques</w:t>
      </w:r>
    </w:p>
    <w:p>
      <w:pPr>
        <w:pStyle w:val="38"/>
        <w:bidi w:val="0"/>
      </w:pPr>
      <w:r>
        <w:t>Pas d’informations complémentaires disponibles</w:t>
      </w:r>
    </w:p>
    <w:p>
      <w:pPr>
        <w:pStyle w:val="42"/>
      </w:pPr>
      <w:r>
        <w:t>8.2.3. Contrôle de l’exposition de l’environnement</w:t>
      </w:r>
    </w:p>
    <w:tbl>
      <w:tblPr>
        <w:tblStyle w:val="9"/>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tcPr>
          <w:p>
            <w:pPr>
              <w:pStyle w:val="33"/>
              <w:keepNext/>
              <w:keepLines/>
              <w:spacing w:before="40" w:after="0" w:line="288" w:lineRule="auto"/>
            </w:pPr>
            <w:r>
              <w:rPr>
                <w:rFonts w:cs="Arial"/>
                <w:b/>
                <w:sz w:val="16"/>
                <w:szCs w:val="12"/>
                <w:lang w:val="en-GB" w:eastAsia="fr-FR" w:bidi="ar-SA"/>
              </w:rPr>
              <w:t>Autres informations</w:t>
            </w:r>
            <w:r>
              <w:rPr>
                <w:rFonts w:cs="Arial"/>
                <w:b/>
                <w:sz w:val="16"/>
                <w:szCs w:val="12"/>
                <w:lang w:val="en-GB" w:eastAsia="nl-NL" w:bidi="ar-SA"/>
              </w:rPr>
              <w:t>:</w:t>
            </w:r>
          </w:p>
        </w:tc>
      </w:tr>
      <w:tr>
        <w:tblPrEx>
          <w:tblCellMar>
            <w:top w:w="0" w:type="dxa"/>
            <w:left w:w="0" w:type="dxa"/>
            <w:bottom w:w="0" w:type="dxa"/>
            <w:right w:w="0" w:type="dxa"/>
          </w:tblCellMar>
        </w:tblPrEx>
        <w:trPr>
          <w:cantSplit/>
        </w:trPr>
        <w:tc>
          <w:tcPr>
            <w:tcW w:w="10488"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Ne pas manger, ne pas boire et ne pas fumer pendant l’utilisation.</w:t>
            </w:r>
          </w:p>
        </w:tc>
      </w:tr>
    </w:tbl>
    <w:p>
      <w:pPr>
        <w:pStyle w:val="40"/>
        <w:rPr>
          <w:lang w:val="fr-BE"/>
        </w:rPr>
      </w:pPr>
      <w:r>
        <w:rPr>
          <w:lang w:val="fr-BE" w:eastAsia="fr-FR"/>
        </w:rPr>
        <w:t>RUBRIQUE 9</w:t>
      </w:r>
      <w:r>
        <w:rPr>
          <w:lang w:val="fr-BE"/>
        </w:rPr>
        <w:t xml:space="preserve">: </w:t>
      </w:r>
      <w:r>
        <w:rPr>
          <w:lang w:val="fr-BE" w:eastAsia="fr-FR"/>
        </w:rPr>
        <w:t>Propriétés physiques et chimiques</w:t>
      </w:r>
    </w:p>
    <w:p>
      <w:pPr>
        <w:pStyle w:val="41"/>
        <w:rPr>
          <w:lang w:val="fr-BE"/>
        </w:rPr>
      </w:pPr>
      <w:r>
        <w:rPr>
          <w:lang w:val="fr-BE"/>
        </w:rPr>
        <w:t xml:space="preserve">9.1. </w:t>
      </w:r>
      <w:r>
        <w:rPr>
          <w:lang w:val="fr-BE" w:eastAsia="fr-FR"/>
        </w:rPr>
        <w:t>Informations sur les propriétés physiques et chimiques essentielles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État physique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Solide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Couleur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ivoire.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Odeur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caractéristique.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Seuil olfactif</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Point de fusion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Point de congélation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Point d’ébullition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Inflammabilité</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Ininflammable.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Limite inférieure d’explosion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Non applicable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Limite supérieure d’explosion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Non applicable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Point d’éclair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&gt; 200 °C</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Température d’auto-inflammation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Non applicable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Température de décomposition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pH</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pH solution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Viscosité, cinématique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Non applicable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Solubilité</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déterminé.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Coefficient de partage n-octanol/eau (Log Kow)</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Pression de vapeur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Pression de vapeur à 50°C</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Masse volumique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Densité relative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déterminé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nl-BE" w:eastAsia="nl-NL" w:bidi="ar-SA"/>
              </w:rPr>
            </w:pPr>
            <w:r>
              <w:rPr>
                <w:rFonts w:cs="Arial"/>
                <w:sz w:val="16"/>
                <w:szCs w:val="12"/>
                <w:lang w:val="nl-BE" w:eastAsia="fr-FR" w:bidi="ar-SA"/>
              </w:rPr>
              <w:t>Densité relative de vapeur à 20°C</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Non applicable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Taille d’une particule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bidi w:val="0"/>
              <w:spacing w:line="288" w:lineRule="auto"/>
              <w:rPr>
                <w:rFonts w:ascii="Arial" w:hAnsi="Arial" w:cs="Arial"/>
                <w:sz w:val="16"/>
                <w:szCs w:val="12"/>
                <w:lang w:val="en-GB" w:eastAsia="nl-NL" w:bidi="ar-SA"/>
              </w:rPr>
            </w:pPr>
            <w:r>
              <w:rPr>
                <w:rFonts w:cs="Arial"/>
                <w:sz w:val="16"/>
                <w:szCs w:val="12"/>
                <w:lang w:val="en-GB" w:eastAsia="nl-NL" w:bidi="ar-SA"/>
              </w:rPr>
              <w:t>Pas disponible</w:t>
            </w:r>
          </w:p>
        </w:tc>
      </w:tr>
    </w:tbl>
    <w:p>
      <w:pPr>
        <w:pStyle w:val="41"/>
        <w:rPr>
          <w:lang w:val="en-GB"/>
        </w:rPr>
      </w:pPr>
      <w:r>
        <w:rPr>
          <w:lang w:val="en-GB"/>
        </w:rPr>
        <w:t xml:space="preserve">9.2. </w:t>
      </w:r>
      <w:r>
        <w:rPr>
          <w:lang w:val="en-GB" w:eastAsia="fr-FR"/>
        </w:rPr>
        <w:t>Autres informations</w:t>
      </w:r>
    </w:p>
    <w:p>
      <w:pPr>
        <w:pStyle w:val="42"/>
      </w:pPr>
      <w:r>
        <w:t xml:space="preserve">9.2.1. </w:t>
      </w:r>
      <w:bookmarkStart w:id="6" w:name="_Hlk54084650"/>
      <w:r>
        <w:t>Informations concernant les classes de danger physique</w:t>
      </w:r>
      <w:bookmarkEnd w:id="6"/>
    </w:p>
    <w:p>
      <w:pPr>
        <w:pStyle w:val="38"/>
        <w:bidi w:val="0"/>
      </w:pPr>
      <w:r>
        <w:t>Pas d’informations complémentaires disponibles</w:t>
      </w:r>
    </w:p>
    <w:p>
      <w:pPr>
        <w:pStyle w:val="42"/>
      </w:pPr>
      <w:r>
        <w:t>9.2.2. Autres caractéristiques de sécurité</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Indice de réfraction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déterminé</w:t>
            </w:r>
          </w:p>
        </w:tc>
      </w:tr>
    </w:tbl>
    <w:p>
      <w:pPr>
        <w:pStyle w:val="40"/>
        <w:rPr>
          <w:lang w:val="fr-BE"/>
        </w:rPr>
      </w:pPr>
      <w:r>
        <w:rPr>
          <w:lang w:val="fr-BE" w:eastAsia="fr-FR"/>
        </w:rPr>
        <w:t>RUBRIQUE 10</w:t>
      </w:r>
      <w:r>
        <w:rPr>
          <w:lang w:val="fr-BE"/>
        </w:rPr>
        <w:t xml:space="preserve">: </w:t>
      </w:r>
      <w:r>
        <w:rPr>
          <w:lang w:val="fr-BE" w:eastAsia="fr-FR"/>
        </w:rPr>
        <w:t>Stabilité et réactivité</w:t>
      </w:r>
    </w:p>
    <w:p>
      <w:pPr>
        <w:pStyle w:val="41"/>
        <w:rPr>
          <w:lang w:val="fr-BE"/>
        </w:rPr>
      </w:pPr>
      <w:r>
        <w:rPr>
          <w:lang w:val="fr-BE"/>
        </w:rPr>
        <w:t xml:space="preserve">10.1. </w:t>
      </w:r>
      <w:r>
        <w:rPr>
          <w:lang w:val="fr-BE" w:eastAsia="fr-FR"/>
        </w:rPr>
        <w:t>Réactivité</w:t>
      </w:r>
    </w:p>
    <w:p>
      <w:pPr>
        <w:pStyle w:val="38"/>
        <w:bidi w:val="0"/>
      </w:pPr>
      <w:r>
        <w:t>Pas d’informations complémentaires disponibles</w:t>
      </w:r>
    </w:p>
    <w:p>
      <w:pPr>
        <w:pStyle w:val="41"/>
        <w:rPr>
          <w:lang w:val="en-GB"/>
        </w:rPr>
      </w:pPr>
      <w:r>
        <w:rPr>
          <w:lang w:val="en-GB"/>
        </w:rPr>
        <w:t xml:space="preserve">10.2. </w:t>
      </w:r>
      <w:r>
        <w:rPr>
          <w:lang w:val="en-GB" w:eastAsia="fr-FR"/>
        </w:rPr>
        <w:t>Stabilité chimique</w:t>
      </w:r>
    </w:p>
    <w:p>
      <w:pPr>
        <w:pStyle w:val="38"/>
      </w:pPr>
      <w:r>
        <w:t>Non établi.</w:t>
      </w:r>
    </w:p>
    <w:p>
      <w:pPr>
        <w:pStyle w:val="41"/>
        <w:rPr>
          <w:lang w:val="en-GB"/>
        </w:rPr>
      </w:pPr>
      <w:r>
        <w:rPr>
          <w:lang w:val="en-GB"/>
        </w:rPr>
        <w:t xml:space="preserve">10.3. </w:t>
      </w:r>
      <w:r>
        <w:rPr>
          <w:lang w:val="en-GB" w:eastAsia="fr-FR"/>
        </w:rPr>
        <w:t>Possibilité de réactions dangereuses</w:t>
      </w:r>
    </w:p>
    <w:p>
      <w:pPr>
        <w:pStyle w:val="38"/>
      </w:pPr>
      <w:r>
        <w:t>Non établi.</w:t>
      </w:r>
    </w:p>
    <w:p>
      <w:pPr>
        <w:pStyle w:val="41"/>
        <w:rPr>
          <w:lang w:val="en-GB"/>
        </w:rPr>
      </w:pPr>
      <w:r>
        <w:rPr>
          <w:lang w:val="en-GB"/>
        </w:rPr>
        <w:t xml:space="preserve">10.4. </w:t>
      </w:r>
      <w:r>
        <w:rPr>
          <w:lang w:val="en-GB" w:eastAsia="fr-FR"/>
        </w:rPr>
        <w:t>Conditions à éviter</w:t>
      </w:r>
    </w:p>
    <w:p>
      <w:pPr>
        <w:pStyle w:val="38"/>
      </w:pPr>
      <w:r>
        <w:t>Rayons directs du soleil. Températures extrêmement élevées ou extrêmement basses.</w:t>
      </w:r>
    </w:p>
    <w:p>
      <w:pPr>
        <w:pStyle w:val="41"/>
        <w:rPr>
          <w:lang w:val="en-GB"/>
        </w:rPr>
      </w:pPr>
      <w:r>
        <w:rPr>
          <w:lang w:val="en-GB"/>
        </w:rPr>
        <w:t xml:space="preserve">10.5. </w:t>
      </w:r>
      <w:r>
        <w:rPr>
          <w:lang w:val="en-GB" w:eastAsia="fr-FR"/>
        </w:rPr>
        <w:t>Matières incompatibles</w:t>
      </w:r>
    </w:p>
    <w:p>
      <w:pPr>
        <w:pStyle w:val="38"/>
      </w:pPr>
      <w:r>
        <w:t>Acides forts. Bases fortes.</w:t>
      </w:r>
    </w:p>
    <w:p>
      <w:pPr>
        <w:pStyle w:val="41"/>
        <w:rPr>
          <w:lang w:val="en-GB"/>
        </w:rPr>
      </w:pPr>
      <w:r>
        <w:rPr>
          <w:lang w:val="en-GB"/>
        </w:rPr>
        <w:t xml:space="preserve">10.6. </w:t>
      </w:r>
      <w:r>
        <w:rPr>
          <w:lang w:val="en-GB" w:eastAsia="fr-FR"/>
        </w:rPr>
        <w:t>Produits de décomposition dangereux</w:t>
      </w:r>
    </w:p>
    <w:p>
      <w:pPr>
        <w:pStyle w:val="38"/>
      </w:pPr>
      <w:r>
        <w:t>fumée. Monoxyde de carbone. Dioxyde de carbone.</w:t>
      </w:r>
    </w:p>
    <w:p>
      <w:pPr>
        <w:pStyle w:val="40"/>
        <w:rPr>
          <w:lang w:val="en-US"/>
        </w:rPr>
      </w:pPr>
      <w:r>
        <w:rPr>
          <w:lang w:val="en-US" w:eastAsia="fr-FR"/>
        </w:rPr>
        <w:t>RUBRIQUE 11</w:t>
      </w:r>
      <w:r>
        <w:rPr>
          <w:lang w:val="en-US"/>
        </w:rPr>
        <w:t xml:space="preserve">: </w:t>
      </w:r>
      <w:r>
        <w:rPr>
          <w:lang w:val="en-US" w:eastAsia="fr-FR"/>
        </w:rPr>
        <w:t>Informations toxicologiques</w:t>
      </w:r>
    </w:p>
    <w:p>
      <w:pPr>
        <w:pStyle w:val="41"/>
        <w:rPr>
          <w:lang w:val="en-GB"/>
        </w:rPr>
      </w:pPr>
      <w:r>
        <w:rPr>
          <w:lang w:val="en-GB"/>
        </w:rPr>
        <w:t xml:space="preserve">11.1. </w:t>
      </w:r>
      <w:r>
        <w:rPr>
          <w:lang w:val="en-GB" w:eastAsia="fr-FR"/>
        </w:rPr>
        <w:t>Informations sur les classes de danger telles que définies dans le règlement (CE) n° 1272/2008</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aiguë (orale)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aiguë (cutanée)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aiguë (Inhalation)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ACETATE PTBCH (32210-23-4)</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DL50 orale</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3370 mg/kg de poids corporel</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ALDEHYDE HEXYL CINNAMIQUE (101-86-0)</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DL50 orale</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3100 mg/kg de poids corporel</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LINALOL (78-70-6)</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DL50 orale</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2790 mg/kg de poids corporel</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DAMACENONE (23696-85-7)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DL50 voie cutanée</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2900 mg/kg de poids corporel</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Corrosion cutanée/irritation cutanée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Lésions oculaires graves/irritation oculaire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Sensibilisation respiratoire ou cutanée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fr-BE" w:eastAsia="nl-NL" w:bidi="ar-SA"/>
              </w:rPr>
            </w:pPr>
            <w:r>
              <w:rPr>
                <w:rFonts w:cs="Arial"/>
                <w:sz w:val="16"/>
                <w:szCs w:val="12"/>
                <w:lang w:val="fr-BE" w:eastAsia="fr-FR" w:bidi="ar-SA"/>
              </w:rPr>
              <w:t>Peut provoquer une allergie cutanée.</w:t>
            </w:r>
          </w:p>
        </w:tc>
      </w:tr>
    </w:tbl>
    <w:p>
      <w:pPr>
        <w:pStyle w:val="37"/>
        <w:rPr>
          <w:lang w:val="es-AR"/>
        </w:rPr>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Mutagénicité sur les cellules germinales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Cancérogénicité</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r>
              <w:rPr>
                <w:rFonts w:cs="Arial"/>
                <w:sz w:val="16"/>
                <w:szCs w:val="12"/>
                <w:lang w:val="en-GB" w:eastAsia="nl-NL" w:bidi="ar-SA"/>
              </w:rPr>
              <w:t xml:space="preserve"> </w:t>
            </w:r>
          </w:p>
        </w:tc>
      </w:tr>
    </w:tbl>
    <w:p>
      <w:pPr>
        <w:pStyle w:val="37"/>
      </w:pPr>
    </w:p>
    <w:tbl>
      <w:tblPr>
        <w:tblStyle w:val="9"/>
        <w:tblW w:w="10490" w:type="dxa"/>
        <w:tblInd w:w="0" w:type="dxa"/>
        <w:tblLayout w:type="fixed"/>
        <w:tblCellMar>
          <w:top w:w="0" w:type="dxa"/>
          <w:left w:w="0" w:type="dxa"/>
          <w:bottom w:w="0" w:type="dxa"/>
          <w:right w:w="0" w:type="dxa"/>
        </w:tblCellMar>
      </w:tblPr>
      <w:tblGrid>
        <w:gridCol w:w="3686"/>
        <w:gridCol w:w="283"/>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pour la reproduction</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spécifique pour certains organes cibles (STOT) (exposition unique)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0" w:type="dxa"/>
        <w:tblInd w:w="0" w:type="dxa"/>
        <w:tblLayout w:type="fixed"/>
        <w:tblCellMar>
          <w:top w:w="0" w:type="dxa"/>
          <w:left w:w="0" w:type="dxa"/>
          <w:bottom w:w="0" w:type="dxa"/>
          <w:right w:w="0" w:type="dxa"/>
        </w:tblCellMar>
      </w:tblPr>
      <w:tblGrid>
        <w:gridCol w:w="3686"/>
        <w:gridCol w:w="283"/>
        <w:gridCol w:w="6521"/>
      </w:tblGrid>
      <w:tr>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Toxicité spécifique pour certains organes cibles (STOT) (exposition répétée)</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3"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 par aspiration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LIMONENE DROIT (+100) (5989-27-5)</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AU" w:eastAsia="nl-NL" w:bidi="ar-SA"/>
              </w:rPr>
            </w:pPr>
            <w:r>
              <w:rPr>
                <w:rFonts w:cs="Arial"/>
                <w:sz w:val="16"/>
                <w:szCs w:val="12"/>
                <w:lang w:val="en-GB" w:eastAsia="fr-FR" w:bidi="ar-SA"/>
              </w:rPr>
              <w:t>Viscosité, cinématique</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AU" w:eastAsia="nl-NL" w:bidi="ar-SA"/>
              </w:rPr>
            </w:pPr>
            <w:r>
              <w:rPr>
                <w:rFonts w:cs="Arial"/>
                <w:sz w:val="16"/>
                <w:szCs w:val="12"/>
                <w:lang w:val="en-GB" w:eastAsia="fr-FR" w:bidi="ar-SA"/>
              </w:rPr>
              <w:t>1,3 mm²/s</w:t>
            </w:r>
          </w:p>
        </w:tc>
      </w:tr>
    </w:tbl>
    <w:p>
      <w:pPr>
        <w:pStyle w:val="41"/>
        <w:rPr>
          <w:lang w:val="en-GB"/>
        </w:rPr>
      </w:pPr>
      <w:r>
        <w:rPr>
          <w:lang w:val="en-GB"/>
        </w:rPr>
        <w:t xml:space="preserve">11.2. </w:t>
      </w:r>
      <w:bookmarkStart w:id="7" w:name="_Hlk54089399"/>
      <w:r>
        <w:rPr>
          <w:lang w:val="en-GB" w:eastAsia="fr-FR"/>
        </w:rPr>
        <w:t>Informations sur les autres dangers</w:t>
      </w:r>
      <w:bookmarkEnd w:id="7"/>
    </w:p>
    <w:p>
      <w:pPr>
        <w:pStyle w:val="42"/>
      </w:pPr>
      <w:r>
        <w:t>11.2.1. Propriétés perturbant le système endocrinien</w:t>
      </w:r>
    </w:p>
    <w:p>
      <w:pPr>
        <w:pStyle w:val="38"/>
        <w:bidi w:val="0"/>
      </w:pPr>
      <w:r>
        <w:t>Pas d’informations complémentaires disponibles</w:t>
      </w:r>
    </w:p>
    <w:p>
      <w:pPr>
        <w:pStyle w:val="42"/>
      </w:pPr>
      <w:r>
        <w:rPr>
          <w:rStyle w:val="17"/>
        </w:rPr>
        <w:t xml:space="preserve">11.2.2. </w:t>
      </w:r>
      <w:bookmarkStart w:id="8" w:name="_Hlk54089489"/>
      <w:r>
        <w:rPr>
          <w:rStyle w:val="17"/>
        </w:rPr>
        <w:t>Autres informations</w:t>
      </w:r>
      <w:bookmarkEnd w:id="8"/>
      <w:bookmarkStart w:id="9" w:name="_Hlk54089553"/>
      <w:bookmarkEnd w:id="9"/>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Effets néfastes potentiels sur la santé humaine et symptômes possibles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tabs>
                <w:tab w:val="left" w:pos="4340"/>
              </w:tabs>
              <w:spacing w:line="288" w:lineRule="auto"/>
              <w:rPr>
                <w:rFonts w:ascii="Arial" w:hAnsi="Arial" w:cs="Arial"/>
                <w:sz w:val="16"/>
                <w:szCs w:val="12"/>
                <w:lang w:val="en-GB" w:eastAsia="nl-NL" w:bidi="ar-SA"/>
              </w:rPr>
            </w:pPr>
            <w:r>
              <w:rPr>
                <w:rFonts w:cs="Arial"/>
                <w:sz w:val="16"/>
                <w:szCs w:val="12"/>
                <w:lang w:val="en-GB" w:eastAsia="fr-FR" w:bidi="ar-SA"/>
              </w:rPr>
              <w:t>Compte tenu des données disponibles, les critères de classification ne sont pas remplis</w:t>
            </w:r>
          </w:p>
        </w:tc>
      </w:tr>
    </w:tbl>
    <w:p>
      <w:pPr>
        <w:pStyle w:val="40"/>
        <w:rPr>
          <w:lang w:val="en-US"/>
        </w:rPr>
      </w:pPr>
      <w:r>
        <w:rPr>
          <w:lang w:val="en-US" w:eastAsia="fr-FR"/>
        </w:rPr>
        <w:t>RUBRIQUE 12</w:t>
      </w:r>
      <w:r>
        <w:rPr>
          <w:lang w:val="en-US"/>
        </w:rPr>
        <w:t xml:space="preserve">: </w:t>
      </w:r>
      <w:r>
        <w:rPr>
          <w:lang w:val="en-US" w:eastAsia="fr-FR"/>
        </w:rPr>
        <w:t>Informations écologiques</w:t>
      </w:r>
    </w:p>
    <w:p>
      <w:pPr>
        <w:pStyle w:val="41"/>
        <w:rPr>
          <w:lang w:val="en-GB"/>
        </w:rPr>
      </w:pPr>
      <w:r>
        <w:rPr>
          <w:lang w:val="en-GB"/>
        </w:rPr>
        <w:t xml:space="preserve">12.1. </w:t>
      </w:r>
      <w:r>
        <w:rPr>
          <w:lang w:val="en-GB" w:eastAsia="fr-FR"/>
        </w:rPr>
        <w:t>Toxicité</w:t>
      </w:r>
    </w:p>
    <w:tbl>
      <w:tblPr>
        <w:tblStyle w:val="9"/>
        <w:tblW w:w="10490" w:type="dxa"/>
        <w:tblInd w:w="0" w:type="dxa"/>
        <w:tblLayout w:type="fixed"/>
        <w:tblCellMar>
          <w:top w:w="0" w:type="dxa"/>
          <w:left w:w="0" w:type="dxa"/>
          <w:bottom w:w="0" w:type="dxa"/>
          <w:right w:w="0" w:type="dxa"/>
        </w:tblCellMar>
      </w:tblPr>
      <w:tblGrid>
        <w:gridCol w:w="3686"/>
        <w:gridCol w:w="284"/>
        <w:gridCol w:w="6520"/>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Dangers pour le milieu aquatique, à court terme (aiguë)</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Dangers pour le milieu aquatique, à long terme (chronique)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classé</w:t>
            </w:r>
          </w:p>
        </w:tc>
      </w:tr>
    </w:tbl>
    <w:p>
      <w:pPr>
        <w:pStyle w:val="41"/>
        <w:rPr>
          <w:lang w:val="en-GB"/>
        </w:rPr>
      </w:pPr>
      <w:r>
        <w:rPr>
          <w:lang w:val="en-GB"/>
        </w:rPr>
        <w:t xml:space="preserve">12.2. </w:t>
      </w:r>
      <w:r>
        <w:rPr>
          <w:lang w:val="en-GB" w:eastAsia="fr-FR"/>
        </w:rPr>
        <w:t>Persistance et dégradabilité</w:t>
      </w: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pPr>
            <w:r>
              <w:rPr>
                <w:rFonts w:cs="Arial"/>
                <w:b/>
                <w:color w:val="0070C0"/>
                <w:sz w:val="18"/>
                <w:szCs w:val="16"/>
                <w:lang w:val="en-GB" w:eastAsia="fr-FR" w:bidi="ar-SA"/>
              </w:rPr>
              <w:t>FDS 10% - Anti-tabac tropical</w:t>
            </w:r>
            <w:r>
              <w:rPr>
                <w:rFonts w:cs="Arial"/>
                <w:b/>
                <w:color w:val="0070C0"/>
                <w:sz w:val="18"/>
                <w:szCs w:val="16"/>
                <w:lang w:val="en-GB" w:eastAsia="nl-NL" w:bidi="ar-SA"/>
              </w:rPr>
              <w:t xml:space="preserve"> </w:t>
            </w:r>
          </w:p>
        </w:tc>
      </w:tr>
      <w:tr>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ACETATE PTBCH (32210-23-4)</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ALDEHYDE HEXYL CINNAMIQUE (101-86-0)</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LINALOL (78-70-6)</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DAMACENONE (23696-85-7)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Peut entraîner des effets néfastes à long terme pour l’environnement.</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LIMONENE DROIT (+100) (5989-27-5)</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Persistance et dégradabilité</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Peut entraîner des effets néfastes à long terme pour l’environnement.</w:t>
            </w:r>
          </w:p>
        </w:tc>
      </w:tr>
    </w:tbl>
    <w:p>
      <w:pPr>
        <w:pStyle w:val="41"/>
        <w:rPr>
          <w:lang w:val="en-GB"/>
        </w:rPr>
      </w:pPr>
      <w:r>
        <w:rPr>
          <w:lang w:val="en-GB"/>
        </w:rPr>
        <w:t xml:space="preserve">12.3. </w:t>
      </w:r>
      <w:r>
        <w:rPr>
          <w:lang w:val="en-GB" w:eastAsia="fr-FR"/>
        </w:rPr>
        <w:t>Potentiel de bioaccumulation</w:t>
      </w: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pPr>
            <w:r>
              <w:rPr>
                <w:rFonts w:cs="Arial"/>
                <w:b/>
                <w:color w:val="0070C0"/>
                <w:sz w:val="18"/>
                <w:szCs w:val="16"/>
                <w:lang w:val="en-GB" w:eastAsia="fr-FR" w:bidi="ar-SA"/>
              </w:rPr>
              <w:t>FDS 10% - Anti-tabac tropical</w:t>
            </w:r>
            <w:r>
              <w:rPr>
                <w:rFonts w:cs="Arial"/>
                <w:b/>
                <w:color w:val="0070C0"/>
                <w:sz w:val="18"/>
                <w:szCs w:val="16"/>
                <w:lang w:val="en-GB" w:eastAsia="nl-NL" w:bidi="ar-SA"/>
              </w:rPr>
              <w:t xml:space="preserve"> </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ACETATE PTBCH (32210-23-4)</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ALDEHYDE HEXYL CINNAMIQUE (101-86-0)</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LINALOL (78-70-6)</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DAMACENONE (23696-85-7)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37"/>
      </w:pPr>
    </w:p>
    <w:tbl>
      <w:tblPr>
        <w:tblStyle w:val="9"/>
        <w:tblW w:w="10489" w:type="dxa"/>
        <w:tblInd w:w="-62" w:type="dxa"/>
        <w:tblLayout w:type="fixed"/>
        <w:tblCellMar>
          <w:top w:w="57" w:type="dxa"/>
          <w:left w:w="57" w:type="dxa"/>
          <w:bottom w:w="57" w:type="dxa"/>
          <w:right w:w="57" w:type="dxa"/>
        </w:tblCellMar>
      </w:tblPr>
      <w:tblGrid>
        <w:gridCol w:w="3969"/>
        <w:gridCol w:w="6520"/>
      </w:tblGrid>
      <w:tr>
        <w:tblPrEx>
          <w:tblCellMar>
            <w:top w:w="57" w:type="dxa"/>
            <w:left w:w="57" w:type="dxa"/>
            <w:bottom w:w="57" w:type="dxa"/>
            <w:right w:w="57" w:type="dxa"/>
          </w:tblCellMar>
        </w:tblPrEx>
        <w:trPr>
          <w:cantSplit/>
          <w:tblHeader/>
        </w:trPr>
        <w:tc>
          <w:tcPr>
            <w:tcW w:w="10489"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lang w:val="en-GB" w:eastAsia="nl-NL" w:bidi="ar-SA"/>
              </w:rPr>
            </w:pPr>
            <w:r>
              <w:rPr>
                <w:rFonts w:cs="Arial"/>
                <w:b/>
                <w:color w:val="0070C0"/>
                <w:sz w:val="18"/>
                <w:szCs w:val="16"/>
                <w:lang w:val="en-GB" w:eastAsia="fr-FR" w:bidi="ar-SA"/>
              </w:rPr>
              <w:t>LIMONENE DROIT (+100) (5989-27-5)</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Coefficient de partage n-octanol/eau (Log Pow)</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4,57</w:t>
            </w:r>
          </w:p>
        </w:tc>
      </w:tr>
      <w:tr>
        <w:tblPrEx>
          <w:tblCellMar>
            <w:top w:w="57" w:type="dxa"/>
            <w:left w:w="57" w:type="dxa"/>
            <w:bottom w:w="57" w:type="dxa"/>
            <w:right w:w="57" w:type="dxa"/>
          </w:tblCellMar>
        </w:tblPrEx>
        <w:trPr>
          <w:cantSplit/>
        </w:trPr>
        <w:tc>
          <w:tcPr>
            <w:tcW w:w="3969"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Potentiel de bioaccumulation</w:t>
            </w:r>
          </w:p>
        </w:tc>
        <w:tc>
          <w:tcPr>
            <w:tcW w:w="6520"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établi.</w:t>
            </w:r>
          </w:p>
        </w:tc>
      </w:tr>
    </w:tbl>
    <w:p>
      <w:pPr>
        <w:pStyle w:val="41"/>
        <w:rPr>
          <w:lang w:val="en-GB"/>
        </w:rPr>
      </w:pPr>
      <w:r>
        <w:rPr>
          <w:lang w:val="en-GB"/>
        </w:rPr>
        <w:t xml:space="preserve">12.4. </w:t>
      </w:r>
      <w:r>
        <w:rPr>
          <w:lang w:val="en-GB" w:eastAsia="fr-FR"/>
        </w:rPr>
        <w:t>Mobilité dans le sol</w:t>
      </w:r>
    </w:p>
    <w:p>
      <w:pPr>
        <w:pStyle w:val="38"/>
        <w:bidi w:val="0"/>
      </w:pPr>
      <w:r>
        <w:t>Pas d’informations complémentaires disponibles</w:t>
      </w:r>
    </w:p>
    <w:p>
      <w:pPr>
        <w:pStyle w:val="41"/>
        <w:rPr>
          <w:lang w:val="en-GB"/>
        </w:rPr>
      </w:pPr>
      <w:r>
        <w:rPr>
          <w:lang w:val="en-GB"/>
        </w:rPr>
        <w:t xml:space="preserve">12.5. </w:t>
      </w:r>
      <w:r>
        <w:rPr>
          <w:lang w:val="en-GB" w:eastAsia="fr-FR"/>
        </w:rPr>
        <w:t>Résultats des évaluations PBT et vPvB</w:t>
      </w:r>
    </w:p>
    <w:p>
      <w:pPr>
        <w:pStyle w:val="38"/>
        <w:bidi w:val="0"/>
      </w:pPr>
      <w:r>
        <w:t>Pas d’informations complémentaires disponibles</w:t>
      </w:r>
    </w:p>
    <w:p>
      <w:pPr>
        <w:pStyle w:val="41"/>
        <w:rPr>
          <w:lang w:val="en-GB"/>
        </w:rPr>
      </w:pPr>
      <w:r>
        <w:rPr>
          <w:lang w:val="en-GB"/>
        </w:rPr>
        <w:t xml:space="preserve">12.6. </w:t>
      </w:r>
      <w:r>
        <w:rPr>
          <w:lang w:val="en-GB" w:eastAsia="fr-FR"/>
        </w:rPr>
        <w:t>Propriétés perturbant le système endocrinien</w:t>
      </w:r>
    </w:p>
    <w:p>
      <w:pPr>
        <w:pStyle w:val="38"/>
        <w:bidi w:val="0"/>
      </w:pPr>
      <w:bookmarkStart w:id="10" w:name="_Hlk54090163"/>
      <w:bookmarkEnd w:id="10"/>
      <w:r>
        <w:t>Pas d’informations complémentaires disponibles</w:t>
      </w:r>
    </w:p>
    <w:p>
      <w:pPr>
        <w:pStyle w:val="41"/>
        <w:rPr>
          <w:lang w:val="en-GB"/>
        </w:rPr>
      </w:pPr>
      <w:r>
        <w:rPr>
          <w:lang w:val="en-GB"/>
        </w:rPr>
        <w:t xml:space="preserve">12.7. </w:t>
      </w:r>
      <w:r>
        <w:rPr>
          <w:lang w:val="en-GB" w:eastAsia="fr-FR"/>
        </w:rPr>
        <w:t>Autres effets néfastes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Indications complémentaires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Éviter le rejet dans l’environnement.</w:t>
            </w:r>
          </w:p>
        </w:tc>
      </w:tr>
    </w:tbl>
    <w:p>
      <w:pPr>
        <w:pStyle w:val="40"/>
        <w:rPr>
          <w:lang w:val="fr-BE"/>
        </w:rPr>
      </w:pPr>
      <w:bookmarkStart w:id="11" w:name="_Hlk54090163"/>
      <w:bookmarkEnd w:id="11"/>
      <w:r>
        <w:rPr>
          <w:lang w:val="fr-BE" w:eastAsia="fr-FR"/>
        </w:rPr>
        <w:t>RUBRIQUE 13</w:t>
      </w:r>
      <w:r>
        <w:rPr>
          <w:lang w:val="fr-BE"/>
        </w:rPr>
        <w:t xml:space="preserve">: </w:t>
      </w:r>
      <w:r>
        <w:rPr>
          <w:lang w:val="fr-BE" w:eastAsia="fr-FR"/>
        </w:rPr>
        <w:t>Considérations relatives à l’élimination</w:t>
      </w:r>
    </w:p>
    <w:p>
      <w:pPr>
        <w:pStyle w:val="41"/>
        <w:rPr>
          <w:lang w:val="fr-BE"/>
        </w:rPr>
      </w:pPr>
      <w:r>
        <w:rPr>
          <w:lang w:val="fr-BE"/>
        </w:rPr>
        <w:t xml:space="preserve">13.1. </w:t>
      </w:r>
      <w:r>
        <w:rPr>
          <w:lang w:val="fr-BE" w:eastAsia="fr-FR"/>
        </w:rPr>
        <w:t>Méthodes de traitement des déchets</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Recommandations pour le traitement du produit/emballage</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Ecologie - déchets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Éviter le rejet dans l’environnement.</w:t>
            </w:r>
          </w:p>
        </w:tc>
      </w:tr>
    </w:tbl>
    <w:p>
      <w:pPr>
        <w:pStyle w:val="40"/>
        <w:rPr>
          <w:lang w:val="en-US"/>
        </w:rPr>
      </w:pPr>
      <w:r>
        <w:rPr>
          <w:lang w:val="en-US" w:eastAsia="fr-FR"/>
        </w:rPr>
        <w:t>RUBRIQUE 14</w:t>
      </w:r>
      <w:r>
        <w:rPr>
          <w:lang w:val="en-US"/>
        </w:rPr>
        <w:t xml:space="preserve">: </w:t>
      </w:r>
      <w:r>
        <w:rPr>
          <w:lang w:val="en-US" w:eastAsia="fr-FR"/>
        </w:rPr>
        <w:t>Informations relatives au transport</w:t>
      </w:r>
    </w:p>
    <w:p>
      <w:pPr>
        <w:pStyle w:val="38"/>
      </w:pPr>
      <w:r>
        <w:t>En conformité avec: ADR / IMDG / IATA / ADN / RID</w:t>
      </w:r>
    </w:p>
    <w:p>
      <w:pPr>
        <w:pStyle w:val="41"/>
        <w:rPr>
          <w:lang w:val="en-GB"/>
        </w:rPr>
      </w:pPr>
      <w:r>
        <w:rPr>
          <w:lang w:val="en-GB"/>
        </w:rPr>
        <w:t xml:space="preserve">14.1. </w:t>
      </w:r>
      <w:r>
        <w:rPr>
          <w:lang w:val="en-GB" w:eastAsia="fr-FR"/>
        </w:rPr>
        <w:t>Numéro ONU ou numéro d’identification</w:t>
      </w:r>
    </w:p>
    <w:p>
      <w:pPr>
        <w:pStyle w:val="38"/>
        <w:rPr>
          <w:lang w:val="pt-BR"/>
        </w:rPr>
      </w:pPr>
      <w:r>
        <w:t>Non réglementé pour le transport</w:t>
      </w:r>
    </w:p>
    <w:p>
      <w:pPr>
        <w:pStyle w:val="41"/>
        <w:rPr>
          <w:lang w:val="en-GB"/>
        </w:rPr>
      </w:pPr>
      <w:r>
        <w:rPr>
          <w:lang w:val="en-GB"/>
        </w:rPr>
        <w:t xml:space="preserve">14.2. </w:t>
      </w:r>
      <w:r>
        <w:rPr>
          <w:lang w:val="en-GB" w:eastAsia="fr-FR"/>
        </w:rPr>
        <w:t>Désignation officielle de transport de l’ONU</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Désignation officielle de transport (ADR)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Désignation officielle de transport (IMDG)</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Désignation officielle de transport (IATA)</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Désignation officielle de transport (ADN)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Désignation officielle de transport (RID)</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41"/>
        <w:rPr>
          <w:lang w:val="en-GB"/>
        </w:rPr>
      </w:pPr>
      <w:r>
        <w:rPr>
          <w:lang w:val="en-GB"/>
        </w:rPr>
        <w:t xml:space="preserve">14.3. </w:t>
      </w:r>
      <w:r>
        <w:rPr>
          <w:lang w:val="en-GB" w:eastAsia="fr-FR"/>
        </w:rPr>
        <w:t>Classe(s) de danger pour le transport</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ADR</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Classe(s) de danger pour le transport (ADR)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IMDG</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Classe(s) de danger pour le transport (IMDG)</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rPr>
          <w:cantSplit/>
        </w:trPr>
        <w:tc>
          <w:tcPr>
            <w:tcW w:w="10491" w:type="dxa"/>
            <w:gridSpan w:val="3"/>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IATA</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Classe(s) de danger pour le transport (IATA)</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rPr>
          <w:cantSplit/>
        </w:trPr>
        <w:tc>
          <w:tcPr>
            <w:tcW w:w="10491" w:type="dxa"/>
            <w:gridSpan w:val="3"/>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ADN</w:t>
            </w:r>
          </w:p>
        </w:tc>
      </w:tr>
      <w:tr>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Classe(s) de danger pour le transport (ADN)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RID</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Classe(s) de danger pour le transport (RID)</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41"/>
        <w:rPr>
          <w:lang w:val="en-GB"/>
        </w:rPr>
      </w:pPr>
      <w:r>
        <w:rPr>
          <w:lang w:val="en-GB"/>
        </w:rPr>
        <w:t xml:space="preserve">14.4. </w:t>
      </w:r>
      <w:r>
        <w:rPr>
          <w:lang w:val="en-GB" w:eastAsia="fr-FR"/>
        </w:rPr>
        <w:t>Groupe d’emballage</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d’emballage (ADR)</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d’emballage (IMDG)</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d’emballage (IATA)</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d’emballage (ADN)</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Groupe d’emballage (RID)</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41"/>
        <w:rPr>
          <w:lang w:val="en-GB"/>
        </w:rPr>
      </w:pPr>
      <w:r>
        <w:rPr>
          <w:lang w:val="en-GB"/>
        </w:rPr>
        <w:t xml:space="preserve">14.5. </w:t>
      </w:r>
      <w:r>
        <w:rPr>
          <w:lang w:val="en-GB" w:eastAsia="fr-FR"/>
        </w:rPr>
        <w:t>Dangers pour l’environnement</w:t>
      </w:r>
    </w:p>
    <w:tbl>
      <w:tblPr>
        <w:tblStyle w:val="9"/>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Autres informations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1"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Pas d’informations supplémentaires disponibles</w:t>
            </w:r>
          </w:p>
        </w:tc>
      </w:tr>
    </w:tbl>
    <w:p>
      <w:pPr>
        <w:pStyle w:val="41"/>
        <w:rPr>
          <w:lang w:val="en-GB"/>
        </w:rPr>
      </w:pPr>
      <w:r>
        <w:rPr>
          <w:lang w:val="en-GB"/>
        </w:rPr>
        <w:t xml:space="preserve">14.6. </w:t>
      </w:r>
      <w:r>
        <w:rPr>
          <w:lang w:val="en-GB" w:eastAsia="fr-FR"/>
        </w:rPr>
        <w:t>Précautions particulières à prendre par l’utilisateur</w:t>
      </w:r>
    </w:p>
    <w:tbl>
      <w:tblPr>
        <w:tblStyle w:val="9"/>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0" w:type="dxa"/>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Transport par voie terrestre</w:t>
            </w:r>
          </w:p>
        </w:tc>
      </w:tr>
      <w:tr>
        <w:tblPrEx>
          <w:tblCellMar>
            <w:top w:w="0" w:type="dxa"/>
            <w:left w:w="0" w:type="dxa"/>
            <w:bottom w:w="0" w:type="dxa"/>
            <w:right w:w="0" w:type="dxa"/>
          </w:tblCellMar>
        </w:tblPrEx>
        <w:trPr>
          <w:cantSplit/>
        </w:trPr>
        <w:tc>
          <w:tcPr>
            <w:tcW w:w="1049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0" w:type="dxa"/>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Transport maritime</w:t>
            </w:r>
          </w:p>
        </w:tc>
      </w:tr>
      <w:tr>
        <w:tblPrEx>
          <w:tblCellMar>
            <w:top w:w="0" w:type="dxa"/>
            <w:left w:w="0" w:type="dxa"/>
            <w:bottom w:w="0" w:type="dxa"/>
            <w:right w:w="0" w:type="dxa"/>
          </w:tblCellMar>
        </w:tblPrEx>
        <w:trPr>
          <w:cantSplit/>
        </w:trPr>
        <w:tc>
          <w:tcPr>
            <w:tcW w:w="1049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0" w:type="dxa"/>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Transport aérien</w:t>
            </w:r>
          </w:p>
        </w:tc>
      </w:tr>
      <w:tr>
        <w:tblPrEx>
          <w:tblCellMar>
            <w:top w:w="0" w:type="dxa"/>
            <w:left w:w="0" w:type="dxa"/>
            <w:bottom w:w="0" w:type="dxa"/>
            <w:right w:w="0" w:type="dxa"/>
          </w:tblCellMar>
        </w:tblPrEx>
        <w:trPr>
          <w:cantSplit/>
        </w:trPr>
        <w:tc>
          <w:tcPr>
            <w:tcW w:w="1049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0" w:type="dxa"/>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Transport par voie fluviale</w:t>
            </w:r>
          </w:p>
        </w:tc>
      </w:tr>
      <w:tr>
        <w:tblPrEx>
          <w:tblCellMar>
            <w:top w:w="0" w:type="dxa"/>
            <w:left w:w="0" w:type="dxa"/>
            <w:bottom w:w="0" w:type="dxa"/>
            <w:right w:w="0" w:type="dxa"/>
          </w:tblCellMar>
        </w:tblPrEx>
        <w:trPr>
          <w:cantSplit/>
        </w:trPr>
        <w:tc>
          <w:tcPr>
            <w:tcW w:w="1049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38"/>
      </w:pPr>
    </w:p>
    <w:tbl>
      <w:tblPr>
        <w:tblStyle w:val="9"/>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0" w:type="dxa"/>
          </w:tcPr>
          <w:p>
            <w:pPr>
              <w:pStyle w:val="36"/>
              <w:keepNext/>
              <w:keepLines/>
              <w:spacing w:line="288" w:lineRule="auto"/>
              <w:rPr>
                <w:rFonts w:ascii="Arial" w:hAnsi="Arial" w:cs="Arial"/>
                <w:b/>
                <w:color w:val="0070C0"/>
                <w:sz w:val="16"/>
                <w:szCs w:val="16"/>
                <w:lang w:val="en-GB" w:eastAsia="fr-FR" w:bidi="ar-SA"/>
              </w:rPr>
            </w:pPr>
            <w:r>
              <w:rPr>
                <w:rFonts w:cs="Arial"/>
                <w:b/>
                <w:color w:val="0070C0"/>
                <w:sz w:val="16"/>
                <w:szCs w:val="16"/>
                <w:lang w:val="en-GB" w:eastAsia="fr-FR" w:bidi="ar-SA"/>
              </w:rPr>
              <w:t>Transport ferroviaire</w:t>
            </w:r>
          </w:p>
        </w:tc>
      </w:tr>
      <w:tr>
        <w:tblPrEx>
          <w:tblCellMar>
            <w:top w:w="0" w:type="dxa"/>
            <w:left w:w="0" w:type="dxa"/>
            <w:bottom w:w="0" w:type="dxa"/>
            <w:right w:w="0" w:type="dxa"/>
          </w:tblCellMar>
        </w:tblPrEx>
        <w:trPr>
          <w:cantSplit/>
        </w:trPr>
        <w:tc>
          <w:tcPr>
            <w:tcW w:w="1049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Non réglementé</w:t>
            </w:r>
          </w:p>
        </w:tc>
      </w:tr>
    </w:tbl>
    <w:p>
      <w:pPr>
        <w:pStyle w:val="41"/>
        <w:rPr>
          <w:lang w:val="en-GB"/>
        </w:rPr>
      </w:pPr>
      <w:r>
        <w:rPr>
          <w:lang w:val="en-GB"/>
        </w:rPr>
        <w:t xml:space="preserve">14.7. </w:t>
      </w:r>
      <w:r>
        <w:rPr>
          <w:lang w:val="en-GB" w:eastAsia="fr-FR"/>
        </w:rPr>
        <w:t>Transport maritime en vrac conformément aux instruments de l’OMI</w:t>
      </w:r>
    </w:p>
    <w:p>
      <w:pPr>
        <w:pStyle w:val="38"/>
        <w:bidi w:val="0"/>
      </w:pPr>
      <w:r>
        <w:t>Non applicable</w:t>
      </w:r>
    </w:p>
    <w:p>
      <w:pPr>
        <w:pStyle w:val="40"/>
        <w:rPr>
          <w:lang w:val="fr-BE"/>
        </w:rPr>
      </w:pPr>
      <w:r>
        <w:rPr>
          <w:lang w:val="fr-BE" w:eastAsia="fr-FR"/>
        </w:rPr>
        <w:t>RUBRIQUE 15</w:t>
      </w:r>
      <w:r>
        <w:rPr>
          <w:lang w:val="fr-BE"/>
        </w:rPr>
        <w:t xml:space="preserve">: </w:t>
      </w:r>
      <w:r>
        <w:rPr>
          <w:lang w:val="fr-BE" w:eastAsia="fr-FR"/>
        </w:rPr>
        <w:t>Informations relatives à la réglementation</w:t>
      </w:r>
    </w:p>
    <w:p>
      <w:pPr>
        <w:pStyle w:val="41"/>
        <w:rPr>
          <w:lang w:val="fr-BE"/>
        </w:rPr>
      </w:pPr>
      <w:r>
        <w:rPr>
          <w:lang w:val="fr-BE"/>
        </w:rPr>
        <w:t xml:space="preserve">15.1. </w:t>
      </w:r>
      <w:r>
        <w:rPr>
          <w:lang w:val="fr-BE" w:eastAsia="fr-FR"/>
        </w:rPr>
        <w:t>Réglementations/législation particulières à la substance ou au mélange en matière de sécurité, de santé et d’environnement</w:t>
      </w:r>
    </w:p>
    <w:p>
      <w:pPr>
        <w:pStyle w:val="42"/>
        <w:rPr>
          <w:lang w:val="fr-FR"/>
        </w:rPr>
      </w:pPr>
      <w:r>
        <w:rPr>
          <w:lang w:val="fr-FR"/>
        </w:rPr>
        <w:t xml:space="preserve">15.1.1. </w:t>
      </w:r>
      <w:r>
        <w:rPr>
          <w:lang w:val="fr-FR" w:eastAsia="fr-FR"/>
        </w:rPr>
        <w:t>Réglementations UE</w:t>
      </w:r>
    </w:p>
    <w:p>
      <w:pPr>
        <w:pStyle w:val="43"/>
      </w:pPr>
      <w:r>
        <w:t>Annexe XVII de REACH (Liste de restriction)</w:t>
      </w:r>
    </w:p>
    <w:p>
      <w:pPr>
        <w:pStyle w:val="38"/>
      </w:pPr>
      <w:r>
        <w:t>Ne contient pas de substance(s) listée(s) dans l’Annexe XVII de REACH (Conditions de restriction)</w:t>
      </w:r>
    </w:p>
    <w:p>
      <w:pPr>
        <w:pStyle w:val="43"/>
      </w:pPr>
      <w:r>
        <w:t>Annexe XIV de REACH (Liste d’autorisation)</w:t>
      </w:r>
    </w:p>
    <w:p>
      <w:pPr>
        <w:pStyle w:val="38"/>
      </w:pPr>
      <w:r>
        <w:t>Ne contient pas de substance(s) listée(s) dans l’annexe XIV de REACH (Liste d’autorisation)</w:t>
      </w:r>
    </w:p>
    <w:p>
      <w:pPr>
        <w:pStyle w:val="43"/>
      </w:pPr>
      <w:r>
        <w:t>Liste candidate REACH (SVHC)</w:t>
      </w:r>
    </w:p>
    <w:p>
      <w:pPr>
        <w:pStyle w:val="38"/>
        <w:rPr>
          <w:highlight w:val="yellow"/>
        </w:rPr>
      </w:pPr>
      <w:r>
        <w:t>Ne contient pas de substance(s) listée(s) dans la liste des substances candidates de REACH</w:t>
      </w:r>
    </w:p>
    <w:p>
      <w:pPr>
        <w:pStyle w:val="43"/>
      </w:pPr>
      <w:r>
        <w:t>Règlement PIC (UE 649/2012, consentement préalable en connaissance de cause)</w:t>
      </w:r>
    </w:p>
    <w:p>
      <w:pPr>
        <w:pStyle w:val="38"/>
      </w:pPr>
      <w:r>
        <w:t>Ne contient pas de substance(s) listée(s) dans la liste PIC (Règlement UE 649/2012 concernant les exportations et importations de produits chimiques dangereux)</w:t>
      </w:r>
    </w:p>
    <w:p>
      <w:pPr>
        <w:pStyle w:val="43"/>
      </w:pPr>
      <w:r>
        <w:t>Règlement POP (UE 2019/1021, polluants organiques persistants)</w:t>
      </w:r>
    </w:p>
    <w:p>
      <w:pPr>
        <w:pStyle w:val="38"/>
      </w:pPr>
      <w:r>
        <w:t>Ne contient pas de substance(s) listée(s) dans la liste des POP (règlement UE 2019/1021 sur les polluants organiques persistants)</w:t>
      </w:r>
    </w:p>
    <w:p>
      <w:pPr>
        <w:pStyle w:val="43"/>
      </w:pPr>
      <w:r>
        <w:t>Règlement sur l’appauvrissement de la couche d’ozone (UE 1005/2009)</w:t>
      </w:r>
    </w:p>
    <w:p>
      <w:pPr>
        <w:pStyle w:val="38"/>
      </w:pPr>
      <w:r>
        <w:t>Ne contient aucune substance listée dans la liste des substances appauvrissant la couche d’ozone (Règlement (CE) n° 1005/2009 relatif à des substances appauvrissant la couche d’ozone)</w:t>
      </w:r>
    </w:p>
    <w:p>
      <w:pPr>
        <w:pStyle w:val="43"/>
      </w:pPr>
      <w:r>
        <w:t>Règlement sur les précurseurs d’explosifs (UE 2019/1148)</w:t>
      </w:r>
    </w:p>
    <w:p>
      <w:pPr>
        <w:pStyle w:val="38"/>
      </w:pPr>
      <w:r>
        <w:t>Ne contient pas de substance(s) listée(s) dans la liste des précurseurs d’explosifs (Règlement UE 2019/1148 relatif à la commercialisation et à l’utilisation des précurseurs d’explosifs)</w:t>
      </w:r>
    </w:p>
    <w:p>
      <w:pPr>
        <w:pStyle w:val="43"/>
      </w:pPr>
      <w:r>
        <w:t>Règlement sur les précurseurs de drogues (CE 273/2004)</w:t>
      </w:r>
    </w:p>
    <w:p>
      <w:pPr>
        <w:pStyle w:val="38"/>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42"/>
      </w:pPr>
      <w:r>
        <w:t>15.1.2. Directives nationales</w:t>
      </w:r>
    </w:p>
    <w:p>
      <w:pPr>
        <w:pStyle w:val="38"/>
        <w:bidi w:val="0"/>
      </w:pPr>
      <w:r>
        <w:t>Pas d’informations complémentaires disponibles</w:t>
      </w:r>
    </w:p>
    <w:p>
      <w:pPr>
        <w:pStyle w:val="41"/>
        <w:rPr>
          <w:lang w:val="en-GB"/>
        </w:rPr>
      </w:pPr>
      <w:r>
        <w:rPr>
          <w:lang w:val="en-GB"/>
        </w:rPr>
        <w:t xml:space="preserve">15.2. </w:t>
      </w:r>
      <w:r>
        <w:rPr>
          <w:lang w:val="en-GB" w:eastAsia="fr-FR"/>
        </w:rPr>
        <w:t>Évaluation de la sécurité chimique</w:t>
      </w:r>
    </w:p>
    <w:p>
      <w:pPr>
        <w:pStyle w:val="38"/>
      </w:pPr>
      <w:r>
        <w:t>Aucune évaluation de la sécurité chimique n’a été effectuée</w:t>
      </w:r>
    </w:p>
    <w:p>
      <w:pPr>
        <w:pStyle w:val="40"/>
        <w:rPr>
          <w:lang w:val="fr-BE"/>
        </w:rPr>
      </w:pPr>
      <w:r>
        <w:rPr>
          <w:lang w:val="fr-BE" w:eastAsia="fr-FR"/>
        </w:rPr>
        <w:t>RUBRIQUE 16</w:t>
      </w:r>
      <w:r>
        <w:rPr>
          <w:lang w:val="fr-BE"/>
        </w:rPr>
        <w:t xml:space="preserve">: </w:t>
      </w:r>
      <w:r>
        <w:rPr>
          <w:lang w:val="fr-BE" w:eastAsia="fr-FR"/>
        </w:rPr>
        <w:t>Autres informations</w:t>
      </w:r>
    </w:p>
    <w:tbl>
      <w:tblPr>
        <w:tblStyle w:val="9"/>
        <w:tblW w:w="10489" w:type="dxa"/>
        <w:tblInd w:w="0" w:type="dxa"/>
        <w:tblLayout w:type="fixed"/>
        <w:tblCellMar>
          <w:top w:w="0" w:type="dxa"/>
          <w:left w:w="0" w:type="dxa"/>
          <w:bottom w:w="0" w:type="dxa"/>
          <w:right w:w="0" w:type="dxa"/>
        </w:tblCellMar>
      </w:tblPr>
      <w:tblGrid>
        <w:gridCol w:w="3685"/>
        <w:gridCol w:w="284"/>
        <w:gridCol w:w="6520"/>
      </w:tblGrid>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Sources des données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CellMar>
            <w:top w:w="0" w:type="dxa"/>
            <w:left w:w="0" w:type="dxa"/>
            <w:bottom w:w="0" w:type="dxa"/>
            <w:right w:w="0" w:type="dxa"/>
          </w:tblCellMar>
        </w:tblPrEx>
        <w:trPr>
          <w:cantSplit/>
        </w:trPr>
        <w:tc>
          <w:tcPr>
            <w:tcW w:w="3685"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Autres informations</w:t>
            </w:r>
          </w:p>
        </w:tc>
        <w:tc>
          <w:tcPr>
            <w:tcW w:w="284" w:type="dxa"/>
          </w:tcPr>
          <w:p>
            <w:pPr>
              <w:pStyle w:val="44"/>
              <w:keepLines/>
              <w:spacing w:line="288" w:lineRule="auto"/>
              <w:jc w:val="center"/>
              <w:rPr>
                <w:rFonts w:ascii="Arial" w:hAnsi="Arial" w:cs="Arial"/>
                <w:sz w:val="16"/>
                <w:szCs w:val="12"/>
                <w:lang w:val="en-GB" w:eastAsia="nl-NL" w:bidi="ar-SA"/>
              </w:rPr>
            </w:pPr>
            <w:r>
              <w:rPr>
                <w:rFonts w:cs="Arial"/>
                <w:sz w:val="16"/>
                <w:szCs w:val="12"/>
                <w:lang w:val="en-GB" w:eastAsia="nl-NL" w:bidi="ar-SA"/>
              </w:rPr>
              <w:t>:</w:t>
            </w:r>
          </w:p>
        </w:tc>
        <w:tc>
          <w:tcPr>
            <w:tcW w:w="6520" w:type="dxa"/>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Aucun(e).</w:t>
            </w:r>
          </w:p>
        </w:tc>
      </w:tr>
    </w:tbl>
    <w:p>
      <w:pPr>
        <w:pStyle w:val="38"/>
      </w:pPr>
    </w:p>
    <w:tbl>
      <w:tblPr>
        <w:tblStyle w:val="9"/>
        <w:tblW w:w="10490" w:type="dxa"/>
        <w:tblInd w:w="-62" w:type="dxa"/>
        <w:tblLayout w:type="fixed"/>
        <w:tblCellMar>
          <w:top w:w="57" w:type="dxa"/>
          <w:left w:w="57" w:type="dxa"/>
          <w:bottom w:w="57" w:type="dxa"/>
          <w:right w:w="57" w:type="dxa"/>
        </w:tblCellMar>
      </w:tblPr>
      <w:tblGrid>
        <w:gridCol w:w="1984"/>
        <w:gridCol w:w="8506"/>
      </w:tblGrid>
      <w:tr>
        <w:tblPrEx>
          <w:tblCellMar>
            <w:top w:w="57" w:type="dxa"/>
            <w:left w:w="57" w:type="dxa"/>
            <w:bottom w:w="57" w:type="dxa"/>
            <w:right w:w="57" w:type="dxa"/>
          </w:tblCellMar>
        </w:tblPrEx>
        <w:trPr>
          <w:cantSplit/>
          <w:tblHeader/>
        </w:trPr>
        <w:tc>
          <w:tcPr>
            <w:tcW w:w="10490" w:type="dxa"/>
            <w:gridSpan w:val="2"/>
            <w:tcBorders>
              <w:top w:val="single" w:color="0070C0" w:sz="4" w:space="0"/>
              <w:left w:val="single" w:color="0070C0" w:sz="4" w:space="0"/>
              <w:bottom w:val="single" w:color="0070C0" w:sz="4" w:space="0"/>
              <w:right w:val="single" w:color="0070C0" w:sz="4" w:space="0"/>
            </w:tcBorders>
            <w:shd w:val="clear" w:color="auto" w:fill="BDD6EE"/>
          </w:tcPr>
          <w:p>
            <w:pPr>
              <w:pStyle w:val="35"/>
              <w:keepNext/>
              <w:keepLines/>
              <w:spacing w:line="288" w:lineRule="auto"/>
              <w:rPr>
                <w:rFonts w:ascii="Arial" w:hAnsi="Arial" w:cs="Arial"/>
                <w:b/>
                <w:color w:val="0070C0"/>
                <w:sz w:val="18"/>
                <w:szCs w:val="16"/>
                <w:highlight w:val="yellow"/>
                <w:lang w:val="en-GB" w:eastAsia="nl-NL" w:bidi="ar-SA"/>
              </w:rPr>
            </w:pPr>
            <w:r>
              <w:rPr>
                <w:rFonts w:cs="Arial"/>
                <w:b/>
                <w:color w:val="0070C0"/>
                <w:sz w:val="18"/>
                <w:szCs w:val="16"/>
                <w:lang w:val="en-GB" w:eastAsia="fr-FR" w:bidi="ar-SA"/>
              </w:rPr>
              <w:t>Texte intégral des phrases H et EUH</w:t>
            </w:r>
            <w:r>
              <w:rPr>
                <w:rFonts w:cs="Arial"/>
                <w:b/>
                <w:color w:val="0070C0"/>
                <w:sz w:val="18"/>
                <w:szCs w:val="16"/>
                <w:lang w:val="en-GB" w:eastAsia="nl-NL" w:bidi="ar-SA"/>
              </w:rPr>
              <w:t>:</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Aquatic Acute 1</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Dangereux pour le milieu aquatique – Danger aigu, catégorie 1</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Aquatic Chronic 2</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Dangereux pour le milieu aquatique – Danger chronique, catégorie 2</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Aquatic Chronic 3</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Dangereux pour le milieu aquatique – Danger chronique, catégorie 3</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Asp. Tox. 1</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Danger par aspiration, catégorie 1</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Eye Irrit. 2</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Lésions oculaires graves/irritation oculaire, catégorie 2</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Flam. Liq. 3</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Liquides inflammables, catégorie 3</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H226</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Liquide et vapeurs inflammables.</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H304</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Peut être mortel en cas d’ingestion et de pénétration dans les voies respiratoires.</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H315</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Provoque une irritation cutanée.</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H317</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Peut provoquer une allergie cutanée.</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H319</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Provoque une sévère irritation des yeux.</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H400</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Très toxique pour les organismes aquatiques.</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H411</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Toxique pour les organismes aquatiques, entraîne des effets néfastes à long terme.</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H412</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Nocif pour les organismes aquatiques, entraîne des effets néfastes à long terme.</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Skin Irrit. 2</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Corrosif/irritant pour la peau, catégorie 2</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Skin Sens. 1A</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Sensibilisation cutanée, catégorie 1A</w:t>
            </w:r>
          </w:p>
        </w:tc>
      </w:tr>
      <w:tr>
        <w:tblPrEx>
          <w:tblCellMar>
            <w:top w:w="57" w:type="dxa"/>
            <w:left w:w="57" w:type="dxa"/>
            <w:bottom w:w="57" w:type="dxa"/>
            <w:right w:w="57" w:type="dxa"/>
          </w:tblCellMar>
        </w:tblPrEx>
        <w:trPr>
          <w:cantSplit/>
        </w:trPr>
        <w:tc>
          <w:tcPr>
            <w:tcW w:w="1984"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Skin Sens. 1B</w:t>
            </w:r>
          </w:p>
        </w:tc>
        <w:tc>
          <w:tcPr>
            <w:tcW w:w="8506" w:type="dxa"/>
            <w:tcBorders>
              <w:top w:val="single" w:color="0070C0" w:sz="4" w:space="0"/>
              <w:left w:val="single" w:color="0070C0" w:sz="4" w:space="0"/>
              <w:bottom w:val="single" w:color="0070C0" w:sz="4" w:space="0"/>
              <w:right w:val="single" w:color="0070C0" w:sz="4" w:space="0"/>
            </w:tcBorders>
          </w:tcPr>
          <w:p>
            <w:pPr>
              <w:pStyle w:val="32"/>
              <w:keepLines/>
              <w:spacing w:line="288" w:lineRule="auto"/>
              <w:rPr>
                <w:rFonts w:ascii="Arial" w:hAnsi="Arial" w:cs="Arial"/>
                <w:sz w:val="16"/>
                <w:szCs w:val="12"/>
                <w:lang w:val="en-GB" w:eastAsia="nl-NL" w:bidi="ar-SA"/>
              </w:rPr>
            </w:pPr>
            <w:r>
              <w:rPr>
                <w:rFonts w:cs="Arial"/>
                <w:sz w:val="16"/>
                <w:szCs w:val="12"/>
                <w:lang w:val="en-GB" w:eastAsia="fr-FR" w:bidi="ar-SA"/>
              </w:rPr>
              <w:t>Sensibilisation cutanée, catégorie 1B</w:t>
            </w:r>
          </w:p>
        </w:tc>
      </w:tr>
    </w:tbl>
    <w:p>
      <w:pPr>
        <w:pStyle w:val="39"/>
      </w:pPr>
      <w:r>
        <w:t>Fiche de données de sécurité (FDS), UE</w:t>
      </w:r>
    </w:p>
    <w:p>
      <w:pPr>
        <w:pStyle w:val="39"/>
      </w:pPr>
      <w: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r:id="rId6" w:type="first"/>
      <w:footerReference r:id="rId8" w:type="first"/>
      <w:headerReference r:id="rId5" w:type="default"/>
      <w:footerReference r:id="rId7" w:type="default"/>
      <w:pgSz w:w="11906" w:h="16838"/>
      <w:pgMar w:top="765" w:right="720" w:bottom="765" w:left="720" w:header="709" w:footer="709" w:gutter="0"/>
      <w:pgNumType w:fmt="decimal"/>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S Mincho;ＭＳ 明朝">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8" w:type="dxa"/>
      <w:tblInd w:w="0" w:type="dxa"/>
      <w:tblLayout w:type="fixed"/>
      <w:tblCellMar>
        <w:top w:w="57" w:type="dxa"/>
        <w:left w:w="0" w:type="dxa"/>
        <w:bottom w:w="0" w:type="dxa"/>
        <w:right w:w="0" w:type="dxa"/>
      </w:tblCellMar>
    </w:tblPr>
    <w:tblGrid>
      <w:gridCol w:w="3515"/>
      <w:gridCol w:w="3458"/>
      <w:gridCol w:w="3515"/>
    </w:tblGrid>
    <w:tr>
      <w:tblPrEx>
        <w:tblCellMar>
          <w:top w:w="57" w:type="dxa"/>
          <w:left w:w="0" w:type="dxa"/>
          <w:bottom w:w="0" w:type="dxa"/>
          <w:right w:w="0" w:type="dxa"/>
        </w:tblCellMar>
      </w:tblPrEx>
      <w:trPr>
        <w:trHeight w:val="57" w:hRule="atLeast"/>
      </w:trPr>
      <w:tc>
        <w:tcPr>
          <w:tcW w:w="3515" w:type="dxa"/>
          <w:tcBorders>
            <w:bottom w:val="single" w:color="000000" w:sz="4" w:space="0"/>
          </w:tcBorders>
        </w:tcPr>
        <w:p>
          <w:pPr>
            <w:pStyle w:val="37"/>
            <w:snapToGrid w:val="0"/>
            <w:rPr>
              <w:rFonts w:ascii="Arial" w:hAnsi="Arial" w:cs="Arial"/>
              <w:sz w:val="2"/>
              <w:szCs w:val="16"/>
              <w:lang w:val="en-GB" w:eastAsia="nl-NL" w:bidi="ar-SA"/>
            </w:rPr>
          </w:pPr>
        </w:p>
      </w:tc>
      <w:tc>
        <w:tcPr>
          <w:tcW w:w="3458" w:type="dxa"/>
          <w:tcBorders>
            <w:bottom w:val="single" w:color="000000" w:sz="4" w:space="0"/>
          </w:tcBorders>
        </w:tcPr>
        <w:p>
          <w:pPr>
            <w:pStyle w:val="37"/>
            <w:snapToGrid w:val="0"/>
            <w:rPr>
              <w:rFonts w:ascii="Arial" w:hAnsi="Arial" w:cs="Arial"/>
              <w:sz w:val="2"/>
              <w:szCs w:val="16"/>
              <w:lang w:val="en-GB" w:eastAsia="nl-NL" w:bidi="ar-SA"/>
            </w:rPr>
          </w:pPr>
        </w:p>
      </w:tc>
      <w:tc>
        <w:tcPr>
          <w:tcW w:w="3515" w:type="dxa"/>
          <w:tcBorders>
            <w:bottom w:val="single" w:color="000000" w:sz="4" w:space="0"/>
          </w:tcBorders>
        </w:tcPr>
        <w:p>
          <w:pPr>
            <w:pStyle w:val="37"/>
            <w:snapToGrid w:val="0"/>
            <w:rPr>
              <w:rFonts w:ascii="Arial" w:hAnsi="Arial" w:cs="Arial"/>
              <w:sz w:val="2"/>
              <w:szCs w:val="16"/>
              <w:lang w:val="en-GB" w:eastAsia="nl-NL" w:bidi="ar-SA"/>
            </w:rPr>
          </w:pPr>
        </w:p>
      </w:tc>
    </w:tr>
    <w:tr>
      <w:tblPrEx>
        <w:tblCellMar>
          <w:top w:w="57" w:type="dxa"/>
          <w:left w:w="0" w:type="dxa"/>
          <w:bottom w:w="0" w:type="dxa"/>
          <w:right w:w="0" w:type="dxa"/>
        </w:tblCellMar>
      </w:tblPrEx>
      <w:trPr>
        <w:trHeight w:val="23" w:hRule="atLeast"/>
      </w:trPr>
      <w:tc>
        <w:tcPr>
          <w:tcW w:w="3515" w:type="dxa"/>
          <w:tcBorders>
            <w:top w:val="single" w:color="000000" w:sz="4" w:space="0"/>
          </w:tcBorders>
        </w:tcPr>
        <w:p>
          <w:pPr>
            <w:pStyle w:val="46"/>
            <w:rPr>
              <w:rFonts w:ascii="Arial" w:hAnsi="Arial" w:cs="Arial"/>
              <w:sz w:val="14"/>
              <w:szCs w:val="14"/>
              <w:lang w:val="en-GB" w:eastAsia="fr-FR" w:bidi="ar-SA"/>
            </w:rPr>
          </w:pPr>
          <w:r>
            <w:rPr>
              <w:rFonts w:cs="Arial"/>
              <w:sz w:val="14"/>
              <w:szCs w:val="14"/>
              <w:lang w:val="en-GB" w:eastAsia="fr-FR" w:bidi="ar-SA"/>
            </w:rPr>
            <w:t>20/09/2023 (Date d’émission)</w:t>
          </w:r>
        </w:p>
      </w:tc>
      <w:tc>
        <w:tcPr>
          <w:tcW w:w="3458" w:type="dxa"/>
          <w:tcBorders>
            <w:top w:val="single" w:color="000000" w:sz="4" w:space="0"/>
          </w:tcBorders>
        </w:tcPr>
        <w:p>
          <w:pPr>
            <w:pStyle w:val="46"/>
            <w:jc w:val="center"/>
            <w:rPr>
              <w:rFonts w:ascii="Arial" w:hAnsi="Arial" w:cs="Arial"/>
              <w:sz w:val="14"/>
              <w:szCs w:val="14"/>
              <w:lang w:val="en-GB" w:eastAsia="fr-FR" w:bidi="ar-SA"/>
            </w:rPr>
          </w:pPr>
          <w:r>
            <w:rPr>
              <w:rFonts w:cs="Arial"/>
              <w:sz w:val="14"/>
              <w:szCs w:val="14"/>
              <w:lang w:val="en-GB" w:eastAsia="fr-FR" w:bidi="ar-SA"/>
            </w:rPr>
            <w:t>FR (français)</w:t>
          </w:r>
        </w:p>
      </w:tc>
      <w:tc>
        <w:tcPr>
          <w:tcW w:w="3515" w:type="dxa"/>
          <w:tcBorders>
            <w:top w:val="single" w:color="000000" w:sz="4" w:space="0"/>
          </w:tcBorders>
        </w:tcPr>
        <w:p>
          <w:pPr>
            <w:pStyle w:val="46"/>
            <w:jc w:val="right"/>
            <w:rPr>
              <w:rFonts w:ascii="Arial" w:hAnsi="Arial" w:cs="Arial"/>
              <w:sz w:val="14"/>
              <w:szCs w:val="14"/>
              <w:lang w:val="en-GB" w:eastAsia="fr-FR" w:bidi="ar-SA"/>
            </w:rPr>
          </w:pPr>
          <w:r>
            <w:fldChar w:fldCharType="begin"/>
          </w:r>
          <w:r>
            <w:instrText xml:space="preserve">PAGE</w:instrText>
          </w:r>
          <w:r>
            <w:fldChar w:fldCharType="separate"/>
          </w:r>
          <w:r>
            <w:t>10</w:t>
          </w:r>
          <w:r>
            <w:fldChar w:fldCharType="end"/>
          </w:r>
          <w:r>
            <w:rPr>
              <w:rFonts w:cs="Arial"/>
              <w:sz w:val="14"/>
              <w:szCs w:val="14"/>
              <w:lang w:val="en-GB" w:eastAsia="fr-FR" w:bidi="ar-SA"/>
            </w:rPr>
            <w:t>/</w:t>
          </w:r>
          <w:r>
            <w:fldChar w:fldCharType="begin"/>
          </w:r>
          <w:r>
            <w:instrText xml:space="preserve">NUMPAGES \* ARABIC</w:instrText>
          </w:r>
          <w:r>
            <w:fldChar w:fldCharType="separate"/>
          </w:r>
          <w:r>
            <w:t>10</w:t>
          </w:r>
          <w:r>
            <w:fldChar w:fldCharType="end"/>
          </w:r>
        </w:p>
      </w:tc>
    </w:tr>
  </w:tbl>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8" w:type="dxa"/>
      <w:tblInd w:w="0" w:type="dxa"/>
      <w:tblLayout w:type="fixed"/>
      <w:tblCellMar>
        <w:top w:w="57" w:type="dxa"/>
        <w:left w:w="0" w:type="dxa"/>
        <w:bottom w:w="0" w:type="dxa"/>
        <w:right w:w="0" w:type="dxa"/>
      </w:tblCellMar>
    </w:tblPr>
    <w:tblGrid>
      <w:gridCol w:w="3515"/>
      <w:gridCol w:w="3458"/>
      <w:gridCol w:w="3515"/>
    </w:tblGrid>
    <w:tr>
      <w:tblPrEx>
        <w:tblCellMar>
          <w:top w:w="57" w:type="dxa"/>
          <w:left w:w="0" w:type="dxa"/>
          <w:bottom w:w="0" w:type="dxa"/>
          <w:right w:w="0" w:type="dxa"/>
        </w:tblCellMar>
      </w:tblPrEx>
      <w:trPr>
        <w:trHeight w:val="57" w:hRule="atLeast"/>
      </w:trPr>
      <w:tc>
        <w:tcPr>
          <w:tcW w:w="3515" w:type="dxa"/>
          <w:tcBorders>
            <w:bottom w:val="single" w:color="000000" w:sz="4" w:space="0"/>
          </w:tcBorders>
        </w:tcPr>
        <w:p>
          <w:pPr>
            <w:pStyle w:val="37"/>
            <w:snapToGrid w:val="0"/>
            <w:rPr>
              <w:rFonts w:ascii="Arial" w:hAnsi="Arial" w:cs="Arial"/>
              <w:sz w:val="2"/>
              <w:szCs w:val="16"/>
              <w:lang w:val="en-GB" w:eastAsia="nl-NL" w:bidi="ar-SA"/>
            </w:rPr>
          </w:pPr>
        </w:p>
      </w:tc>
      <w:tc>
        <w:tcPr>
          <w:tcW w:w="3458" w:type="dxa"/>
          <w:tcBorders>
            <w:bottom w:val="single" w:color="000000" w:sz="4" w:space="0"/>
          </w:tcBorders>
        </w:tcPr>
        <w:p>
          <w:pPr>
            <w:pStyle w:val="37"/>
            <w:snapToGrid w:val="0"/>
            <w:rPr>
              <w:rFonts w:ascii="Arial" w:hAnsi="Arial" w:cs="Arial"/>
              <w:sz w:val="2"/>
              <w:szCs w:val="16"/>
              <w:lang w:val="en-GB" w:eastAsia="nl-NL" w:bidi="ar-SA"/>
            </w:rPr>
          </w:pPr>
        </w:p>
      </w:tc>
      <w:tc>
        <w:tcPr>
          <w:tcW w:w="3515" w:type="dxa"/>
          <w:tcBorders>
            <w:bottom w:val="single" w:color="000000" w:sz="4" w:space="0"/>
          </w:tcBorders>
        </w:tcPr>
        <w:p>
          <w:pPr>
            <w:pStyle w:val="37"/>
            <w:snapToGrid w:val="0"/>
            <w:rPr>
              <w:rFonts w:ascii="Arial" w:hAnsi="Arial" w:cs="Arial"/>
              <w:sz w:val="2"/>
              <w:szCs w:val="16"/>
              <w:lang w:val="en-GB" w:eastAsia="nl-NL" w:bidi="ar-SA"/>
            </w:rPr>
          </w:pPr>
        </w:p>
      </w:tc>
    </w:tr>
    <w:tr>
      <w:tblPrEx>
        <w:tblCellMar>
          <w:top w:w="57" w:type="dxa"/>
          <w:left w:w="0" w:type="dxa"/>
          <w:bottom w:w="0" w:type="dxa"/>
          <w:right w:w="0" w:type="dxa"/>
        </w:tblCellMar>
      </w:tblPrEx>
      <w:trPr>
        <w:trHeight w:val="23" w:hRule="atLeast"/>
      </w:trPr>
      <w:tc>
        <w:tcPr>
          <w:tcW w:w="3515" w:type="dxa"/>
          <w:tcBorders>
            <w:top w:val="single" w:color="000000" w:sz="4" w:space="0"/>
          </w:tcBorders>
        </w:tcPr>
        <w:p>
          <w:pPr>
            <w:pStyle w:val="46"/>
            <w:rPr>
              <w:rFonts w:ascii="Arial" w:hAnsi="Arial" w:cs="Arial"/>
              <w:sz w:val="14"/>
              <w:szCs w:val="14"/>
              <w:lang w:val="en-GB" w:eastAsia="fr-FR" w:bidi="ar-SA"/>
            </w:rPr>
          </w:pPr>
          <w:r>
            <w:rPr>
              <w:rFonts w:cs="Arial"/>
              <w:sz w:val="14"/>
              <w:szCs w:val="14"/>
              <w:lang w:val="en-GB" w:eastAsia="fr-FR" w:bidi="ar-SA"/>
            </w:rPr>
            <w:t>20/09/2023 (Date d’émission)</w:t>
          </w:r>
        </w:p>
      </w:tc>
      <w:tc>
        <w:tcPr>
          <w:tcW w:w="3458" w:type="dxa"/>
          <w:tcBorders>
            <w:top w:val="single" w:color="000000" w:sz="4" w:space="0"/>
          </w:tcBorders>
        </w:tcPr>
        <w:p>
          <w:pPr>
            <w:pStyle w:val="46"/>
            <w:jc w:val="center"/>
            <w:rPr>
              <w:rFonts w:ascii="Arial" w:hAnsi="Arial" w:cs="Arial"/>
              <w:sz w:val="14"/>
              <w:szCs w:val="14"/>
              <w:lang w:val="en-GB" w:eastAsia="fr-FR" w:bidi="ar-SA"/>
            </w:rPr>
          </w:pPr>
          <w:r>
            <w:rPr>
              <w:rFonts w:cs="Arial"/>
              <w:sz w:val="14"/>
              <w:szCs w:val="14"/>
              <w:lang w:val="en-GB" w:eastAsia="fr-FR" w:bidi="ar-SA"/>
            </w:rPr>
            <w:t>FR (français)</w:t>
          </w:r>
        </w:p>
      </w:tc>
      <w:tc>
        <w:tcPr>
          <w:tcW w:w="3515" w:type="dxa"/>
          <w:tcBorders>
            <w:top w:val="single" w:color="000000" w:sz="4" w:space="0"/>
          </w:tcBorders>
        </w:tcPr>
        <w:p>
          <w:pPr>
            <w:pStyle w:val="46"/>
            <w:jc w:val="right"/>
            <w:rPr>
              <w:rFonts w:ascii="Arial" w:hAnsi="Arial" w:cs="Arial"/>
              <w:sz w:val="14"/>
              <w:szCs w:val="14"/>
              <w:lang w:val="en-GB" w:eastAsia="fr-FR" w:bidi="ar-SA"/>
            </w:rPr>
          </w:pPr>
          <w:r>
            <w:fldChar w:fldCharType="begin"/>
          </w:r>
          <w:r>
            <w:instrText xml:space="preserve">PAGE</w:instrText>
          </w:r>
          <w:r>
            <w:fldChar w:fldCharType="separate"/>
          </w:r>
          <w:r>
            <w:t>1</w:t>
          </w:r>
          <w:r>
            <w:fldChar w:fldCharType="end"/>
          </w:r>
          <w:r>
            <w:rPr>
              <w:rFonts w:cs="Arial"/>
              <w:sz w:val="14"/>
              <w:szCs w:val="14"/>
              <w:lang w:val="en-GB" w:eastAsia="fr-FR" w:bidi="ar-SA"/>
            </w:rPr>
            <w:t>/</w:t>
          </w:r>
          <w:r>
            <w:fldChar w:fldCharType="begin"/>
          </w:r>
          <w:r>
            <w:instrText xml:space="preserve">NUMPAGES \* ARABIC</w:instrText>
          </w:r>
          <w:r>
            <w:fldChar w:fldCharType="separate"/>
          </w:r>
          <w:r>
            <w:t>10</w:t>
          </w:r>
          <w:r>
            <w:fldChar w:fldCharType="end"/>
          </w:r>
        </w:p>
      </w:tc>
    </w:tr>
  </w:tbl>
  <w:p>
    <w:pPr>
      <w:pStyle w:val="3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8" w:type="dxa"/>
      <w:tblInd w:w="0" w:type="dxa"/>
      <w:tblLayout w:type="fixed"/>
      <w:tblCellMar>
        <w:top w:w="0" w:type="dxa"/>
        <w:left w:w="0" w:type="dxa"/>
        <w:bottom w:w="57" w:type="dxa"/>
        <w:right w:w="0" w:type="dxa"/>
      </w:tblCellMar>
    </w:tblPr>
    <w:tblGrid>
      <w:gridCol w:w="7483"/>
      <w:gridCol w:w="3005"/>
    </w:tblGrid>
    <w:tr>
      <w:tblPrEx>
        <w:tblCellMar>
          <w:top w:w="0" w:type="dxa"/>
          <w:left w:w="0" w:type="dxa"/>
          <w:bottom w:w="57" w:type="dxa"/>
          <w:right w:w="0" w:type="dxa"/>
        </w:tblCellMar>
      </w:tblPrEx>
      <w:trPr>
        <w:trHeight w:val="23" w:hRule="atLeast"/>
      </w:trPr>
      <w:tc>
        <w:tcPr>
          <w:tcW w:w="10488" w:type="dxa"/>
          <w:gridSpan w:val="2"/>
        </w:tcPr>
        <w:p>
          <w:pPr>
            <w:pStyle w:val="45"/>
            <w:rPr>
              <w:rFonts w:ascii="Arial" w:hAnsi="Arial" w:cs="Arial"/>
              <w:b/>
              <w:sz w:val="32"/>
              <w:szCs w:val="32"/>
              <w:lang w:val="en-GB" w:eastAsia="fr-FR" w:bidi="ar-SA"/>
            </w:rPr>
          </w:pPr>
          <w:r>
            <w:rPr>
              <w:rFonts w:cs="Arial"/>
              <w:b/>
              <w:sz w:val="32"/>
              <w:szCs w:val="32"/>
              <w:lang w:val="en-GB" w:eastAsia="fr-FR" w:bidi="ar-SA"/>
            </w:rPr>
            <w:t>FDS 10% - Anti-tabac tropical</w:t>
          </w:r>
        </w:p>
      </w:tc>
    </w:tr>
    <w:tr>
      <w:tblPrEx>
        <w:tblCellMar>
          <w:top w:w="0" w:type="dxa"/>
          <w:left w:w="0" w:type="dxa"/>
          <w:bottom w:w="57" w:type="dxa"/>
          <w:right w:w="0" w:type="dxa"/>
        </w:tblCellMar>
      </w:tblPrEx>
      <w:trPr>
        <w:trHeight w:val="23" w:hRule="atLeast"/>
      </w:trPr>
      <w:tc>
        <w:tcPr>
          <w:tcW w:w="7483" w:type="dxa"/>
        </w:tcPr>
        <w:p>
          <w:pPr>
            <w:pStyle w:val="45"/>
            <w:rPr>
              <w:rFonts w:ascii="Arial" w:hAnsi="Arial" w:cs="Arial"/>
              <w:sz w:val="24"/>
              <w:szCs w:val="24"/>
              <w:lang w:val="en-GB" w:eastAsia="fr-FR" w:bidi="ar-SA"/>
            </w:rPr>
          </w:pPr>
          <w:r>
            <w:rPr>
              <w:rFonts w:cs="Arial"/>
              <w:sz w:val="24"/>
              <w:szCs w:val="24"/>
              <w:lang w:val="en-GB" w:eastAsia="fr-FR" w:bidi="ar-SA"/>
            </w:rPr>
            <w:t>Fiche de Données de Sécurité</w:t>
          </w:r>
        </w:p>
      </w:tc>
      <w:tc>
        <w:tcPr>
          <w:tcW w:w="3005" w:type="dxa"/>
        </w:tcPr>
        <w:p>
          <w:pPr>
            <w:pStyle w:val="45"/>
            <w:snapToGrid w:val="0"/>
            <w:jc w:val="right"/>
            <w:rPr>
              <w:rFonts w:ascii="Arial" w:hAnsi="Arial" w:cs="Arial"/>
              <w:b/>
              <w:color w:val="FF0000"/>
              <w:sz w:val="24"/>
              <w:szCs w:val="24"/>
              <w:lang w:val="en-GB" w:eastAsia="fr-FR" w:bidi="ar-SA"/>
            </w:rPr>
          </w:pPr>
        </w:p>
      </w:tc>
    </w:tr>
    <w:tr>
      <w:tblPrEx>
        <w:tblCellMar>
          <w:top w:w="0" w:type="dxa"/>
          <w:left w:w="0" w:type="dxa"/>
          <w:bottom w:w="57" w:type="dxa"/>
          <w:right w:w="0" w:type="dxa"/>
        </w:tblCellMar>
      </w:tblPrEx>
      <w:trPr>
        <w:trHeight w:val="23" w:hRule="atLeast"/>
      </w:trPr>
      <w:tc>
        <w:tcPr>
          <w:tcW w:w="10488" w:type="dxa"/>
          <w:gridSpan w:val="2"/>
          <w:tcBorders>
            <w:bottom w:val="single" w:color="000000" w:sz="4" w:space="0"/>
          </w:tcBorders>
        </w:tcPr>
        <w:p>
          <w:pPr>
            <w:pStyle w:val="45"/>
            <w:rPr>
              <w:rFonts w:ascii="Arial" w:hAnsi="Arial" w:cs="Arial"/>
              <w:sz w:val="14"/>
              <w:szCs w:val="14"/>
              <w:lang w:val="fr-BE" w:eastAsia="fr-FR" w:bidi="ar-SA"/>
            </w:rPr>
          </w:pPr>
          <w:r>
            <w:rPr>
              <w:rFonts w:cs="Arial"/>
              <w:sz w:val="14"/>
              <w:szCs w:val="14"/>
              <w:lang w:val="fr-BE" w:eastAsia="fr-FR" w:bidi="ar-SA"/>
            </w:rPr>
            <w:t>conformément au règlement (CE) n° 1907/2006 (REACH) modifié par le règlement (UE) 2020/878</w:t>
          </w:r>
        </w:p>
      </w:tc>
    </w:tr>
    <w:tr>
      <w:tblPrEx>
        <w:tblCellMar>
          <w:top w:w="0" w:type="dxa"/>
          <w:left w:w="0" w:type="dxa"/>
          <w:bottom w:w="57" w:type="dxa"/>
          <w:right w:w="0" w:type="dxa"/>
        </w:tblCellMar>
      </w:tblPrEx>
      <w:trPr>
        <w:trHeight w:val="57" w:hRule="atLeast"/>
      </w:trPr>
      <w:tc>
        <w:tcPr>
          <w:tcW w:w="10488" w:type="dxa"/>
          <w:gridSpan w:val="2"/>
          <w:tcBorders>
            <w:top w:val="single" w:color="000000" w:sz="4" w:space="0"/>
          </w:tcBorders>
        </w:tcPr>
        <w:p>
          <w:pPr>
            <w:pStyle w:val="37"/>
            <w:snapToGrid w:val="0"/>
            <w:rPr>
              <w:rFonts w:ascii="Arial" w:hAnsi="Arial" w:cs="Arial"/>
              <w:sz w:val="2"/>
              <w:szCs w:val="16"/>
              <w:lang w:val="fr-BE" w:eastAsia="nl-NL" w:bidi="ar-SA"/>
            </w:rPr>
          </w:pPr>
        </w:p>
      </w:tc>
    </w:tr>
  </w:tbl>
  <w:p>
    <w:pPr>
      <w:pStyle w:val="37"/>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0" w:type="dxa"/>
      <w:tblInd w:w="0" w:type="dxa"/>
      <w:tblLayout w:type="fixed"/>
      <w:tblCellMar>
        <w:top w:w="0" w:type="dxa"/>
        <w:left w:w="0" w:type="dxa"/>
        <w:bottom w:w="57" w:type="dxa"/>
        <w:right w:w="0" w:type="dxa"/>
      </w:tblCellMar>
    </w:tblPr>
    <w:tblGrid>
      <w:gridCol w:w="7483"/>
      <w:gridCol w:w="3007"/>
    </w:tblGrid>
    <w:tr>
      <w:tblPrEx>
        <w:tblCellMar>
          <w:top w:w="0" w:type="dxa"/>
          <w:left w:w="0" w:type="dxa"/>
          <w:bottom w:w="57" w:type="dxa"/>
          <w:right w:w="0" w:type="dxa"/>
        </w:tblCellMar>
      </w:tblPrEx>
      <w:trPr>
        <w:trHeight w:val="23" w:hRule="atLeast"/>
      </w:trPr>
      <w:tc>
        <w:tcPr>
          <w:tcW w:w="10490" w:type="dxa"/>
          <w:gridSpan w:val="2"/>
        </w:tcPr>
        <w:p>
          <w:pPr>
            <w:pStyle w:val="45"/>
            <w:rPr>
              <w:rFonts w:ascii="Arial" w:hAnsi="Arial" w:cs="Arial"/>
              <w:b/>
              <w:sz w:val="32"/>
              <w:szCs w:val="32"/>
              <w:lang w:val="en-GB" w:eastAsia="fr-FR" w:bidi="ar-SA"/>
            </w:rPr>
          </w:pPr>
          <w:r>
            <w:rPr>
              <w:rFonts w:cs="Arial"/>
              <w:b/>
              <w:sz w:val="32"/>
              <w:szCs w:val="32"/>
              <w:lang w:val="en-GB" w:eastAsia="fr-FR" w:bidi="ar-SA"/>
            </w:rPr>
            <w:t>FDS 10% - Anti-tabac tropical</w:t>
          </w:r>
        </w:p>
      </w:tc>
    </w:tr>
    <w:tr>
      <w:tblPrEx>
        <w:tblCellMar>
          <w:top w:w="0" w:type="dxa"/>
          <w:left w:w="0" w:type="dxa"/>
          <w:bottom w:w="57" w:type="dxa"/>
          <w:right w:w="0" w:type="dxa"/>
        </w:tblCellMar>
      </w:tblPrEx>
      <w:trPr>
        <w:trHeight w:val="23" w:hRule="atLeast"/>
      </w:trPr>
      <w:tc>
        <w:tcPr>
          <w:tcW w:w="7483" w:type="dxa"/>
        </w:tcPr>
        <w:p>
          <w:pPr>
            <w:pStyle w:val="45"/>
            <w:rPr>
              <w:rFonts w:ascii="Arial" w:hAnsi="Arial" w:cs="Arial"/>
              <w:sz w:val="24"/>
              <w:szCs w:val="24"/>
              <w:lang w:val="en-GB" w:eastAsia="fr-FR" w:bidi="ar-SA"/>
            </w:rPr>
          </w:pPr>
          <w:r>
            <w:rPr>
              <w:rFonts w:cs="Arial"/>
              <w:sz w:val="24"/>
              <w:szCs w:val="24"/>
              <w:lang w:val="en-GB" w:eastAsia="fr-FR" w:bidi="ar-SA"/>
            </w:rPr>
            <w:t>Fiche de Données de Sécurité</w:t>
          </w:r>
        </w:p>
      </w:tc>
      <w:tc>
        <w:tcPr>
          <w:tcW w:w="3007" w:type="dxa"/>
        </w:tcPr>
        <w:p>
          <w:pPr>
            <w:pStyle w:val="45"/>
            <w:snapToGrid w:val="0"/>
            <w:jc w:val="right"/>
            <w:rPr>
              <w:rFonts w:ascii="Arial" w:hAnsi="Arial" w:cs="Arial"/>
              <w:b/>
              <w:color w:val="FF0000"/>
              <w:sz w:val="24"/>
              <w:szCs w:val="24"/>
              <w:lang w:val="en-GB" w:eastAsia="fr-FR" w:bidi="ar-SA"/>
            </w:rPr>
          </w:pPr>
        </w:p>
      </w:tc>
    </w:tr>
    <w:tr>
      <w:tblPrEx>
        <w:tblCellMar>
          <w:top w:w="0" w:type="dxa"/>
          <w:left w:w="0" w:type="dxa"/>
          <w:bottom w:w="57" w:type="dxa"/>
          <w:right w:w="0" w:type="dxa"/>
        </w:tblCellMar>
      </w:tblPrEx>
      <w:trPr>
        <w:trHeight w:val="23" w:hRule="atLeast"/>
      </w:trPr>
      <w:tc>
        <w:tcPr>
          <w:tcW w:w="10490" w:type="dxa"/>
          <w:gridSpan w:val="2"/>
          <w:tcBorders>
            <w:bottom w:val="single" w:color="000000" w:sz="4" w:space="0"/>
          </w:tcBorders>
        </w:tcPr>
        <w:p>
          <w:pPr>
            <w:pStyle w:val="45"/>
            <w:rPr>
              <w:rFonts w:ascii="Arial" w:hAnsi="Arial" w:cs="Arial"/>
              <w:sz w:val="14"/>
              <w:szCs w:val="14"/>
              <w:lang w:val="fr-BE" w:eastAsia="fr-FR" w:bidi="ar-SA"/>
            </w:rPr>
          </w:pPr>
          <w:r>
            <w:rPr>
              <w:rFonts w:cs="Arial"/>
              <w:sz w:val="14"/>
              <w:szCs w:val="14"/>
              <w:lang w:val="fr-BE" w:eastAsia="fr-FR" w:bidi="ar-SA"/>
            </w:rPr>
            <w:t>conformément au règlement (CE) n° 1907/2006 (REACH) modifié par le règlement (UE) 2020/878</w:t>
          </w:r>
        </w:p>
        <w:p>
          <w:pPr>
            <w:pStyle w:val="45"/>
            <w:rPr>
              <w:rFonts w:ascii="Arial" w:hAnsi="Arial" w:cs="Arial"/>
              <w:sz w:val="14"/>
              <w:szCs w:val="14"/>
              <w:lang w:val="en-GB" w:eastAsia="fr-FR" w:bidi="ar-SA"/>
            </w:rPr>
          </w:pPr>
          <w:r>
            <w:rPr>
              <w:rFonts w:cs="Arial"/>
              <w:sz w:val="14"/>
              <w:szCs w:val="14"/>
              <w:lang w:val="en-GB" w:eastAsia="fr-FR" w:bidi="ar-SA"/>
            </w:rPr>
            <w:t>Date d’émission: 20/09/2023   Version: 1.1</w:t>
          </w:r>
        </w:p>
      </w:tc>
    </w:tr>
    <w:tr>
      <w:tblPrEx>
        <w:tblCellMar>
          <w:top w:w="0" w:type="dxa"/>
          <w:left w:w="0" w:type="dxa"/>
          <w:bottom w:w="57" w:type="dxa"/>
          <w:right w:w="0" w:type="dxa"/>
        </w:tblCellMar>
      </w:tblPrEx>
      <w:trPr>
        <w:trHeight w:val="57" w:hRule="atLeast"/>
      </w:trPr>
      <w:tc>
        <w:tcPr>
          <w:tcW w:w="10490" w:type="dxa"/>
          <w:gridSpan w:val="2"/>
          <w:tcBorders>
            <w:top w:val="single" w:color="000000" w:sz="4" w:space="0"/>
          </w:tcBorders>
        </w:tcPr>
        <w:p>
          <w:pPr>
            <w:pStyle w:val="37"/>
            <w:snapToGrid w:val="0"/>
            <w:rPr>
              <w:rFonts w:ascii="Arial" w:hAnsi="Arial" w:cs="Arial"/>
              <w:sz w:val="2"/>
              <w:szCs w:val="16"/>
              <w:lang w:val="en-GB" w:eastAsia="nl-NL" w:bidi="ar-SA"/>
            </w:rPr>
          </w:pPr>
        </w:p>
      </w:tc>
    </w:tr>
  </w:tbl>
  <w:p>
    <w:pPr>
      <w:pStyle w:val="45"/>
      <w:rPr>
        <w:rFonts w:ascii="Arial" w:hAnsi="Arial" w:cs="Arial"/>
        <w:sz w:val="2"/>
        <w:szCs w:val="16"/>
        <w:lang w:val="en-GB" w:eastAsia="nl-NL"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autoHyphenation/>
  <w:footnotePr>
    <w:footnote w:id="0"/>
    <w:footnote w:id="1"/>
  </w:footnotePr>
  <w:endnotePr>
    <w:endnote w:id="0"/>
    <w:endnote w:id="1"/>
  </w:endnotePr>
  <w:compat>
    <w:compatSetting w:name="compatibilityMode" w:uri="http://schemas.microsoft.com/office/word" w:val="15"/>
  </w:compat>
  <w:rsids>
    <w:rsidRoot w:val="00000000"/>
    <w:rsid w:val="701D6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keepLines/>
      <w:widowControl/>
      <w:suppressAutoHyphens/>
      <w:bidi w:val="0"/>
      <w:spacing w:line="288" w:lineRule="auto"/>
    </w:pPr>
    <w:rPr>
      <w:rFonts w:ascii="Arial" w:hAnsi="Arial" w:eastAsia="Times New Roman" w:cs="Arial"/>
      <w:color w:val="auto"/>
      <w:sz w:val="16"/>
      <w:szCs w:val="12"/>
      <w:lang w:val="fr-FR" w:eastAsia="zh-CN" w:bidi="hi-IN"/>
    </w:rPr>
  </w:style>
  <w:style w:type="paragraph" w:styleId="2">
    <w:name w:val="heading 1"/>
    <w:basedOn w:val="1"/>
    <w:next w:val="1"/>
    <w:qFormat/>
    <w:uiPriority w:val="0"/>
    <w:pPr>
      <w:keepNext/>
      <w:numPr>
        <w:ilvl w:val="0"/>
        <w:numId w:val="1"/>
      </w:numPr>
      <w:spacing w:before="240" w:after="60" w:line="240" w:lineRule="auto"/>
      <w:outlineLvl w:val="0"/>
    </w:pPr>
    <w:rPr>
      <w:rFonts w:ascii="Cambria" w:hAnsi="Cambria" w:cs="Times New Roman"/>
      <w:b/>
      <w:bCs/>
      <w:kern w:val="2"/>
      <w:sz w:val="32"/>
      <w:szCs w:val="32"/>
      <w:lang w:val="nl-NL"/>
    </w:rPr>
  </w:style>
  <w:style w:type="character" w:default="1" w:styleId="3">
    <w:name w:val="Default Paragraph Font"/>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w:i/>
      <w:iCs/>
      <w:sz w:val="24"/>
      <w:szCs w:val="24"/>
    </w:rPr>
  </w:style>
  <w:style w:type="paragraph" w:styleId="5">
    <w:name w:val="Body Text"/>
    <w:basedOn w:val="1"/>
    <w:uiPriority w:val="0"/>
    <w:pPr>
      <w:tabs>
        <w:tab w:val="left" w:leader="dot" w:pos="3720"/>
        <w:tab w:val="left" w:pos="3969"/>
      </w:tabs>
      <w:spacing w:before="0" w:after="60" w:line="240" w:lineRule="auto"/>
      <w:ind w:left="3969" w:hanging="3969"/>
    </w:pPr>
    <w:rPr>
      <w:rFonts w:eastAsia="MS Mincho;ＭＳ 明朝" w:cs="Times New Roman"/>
      <w:sz w:val="20"/>
      <w:szCs w:val="24"/>
      <w:lang w:val="en-US" w:eastAsia="fr-FR"/>
    </w:rPr>
  </w:style>
  <w:style w:type="paragraph" w:styleId="6">
    <w:name w:val="footer"/>
    <w:basedOn w:val="1"/>
    <w:uiPriority w:val="0"/>
    <w:pPr>
      <w:tabs>
        <w:tab w:val="center" w:pos="4513"/>
        <w:tab w:val="right" w:pos="9026"/>
      </w:tabs>
    </w:pPr>
  </w:style>
  <w:style w:type="paragraph" w:styleId="7">
    <w:name w:val="List"/>
    <w:basedOn w:val="5"/>
    <w:uiPriority w:val="0"/>
    <w:rPr>
      <w:rFonts w:cs="Arial"/>
    </w:rPr>
  </w:style>
  <w:style w:type="paragraph" w:styleId="8">
    <w:name w:val="header"/>
    <w:basedOn w:val="1"/>
    <w:uiPriority w:val="0"/>
    <w:pPr>
      <w:tabs>
        <w:tab w:val="center" w:pos="4513"/>
        <w:tab w:val="right" w:pos="9026"/>
      </w:tabs>
      <w:spacing w:line="240" w:lineRule="auto"/>
    </w:pPr>
  </w:style>
  <w:style w:type="character" w:customStyle="1" w:styleId="10">
    <w:name w:val="Heading 1 Char"/>
    <w:qFormat/>
    <w:uiPriority w:val="0"/>
    <w:rPr>
      <w:rFonts w:ascii="Cambria" w:hAnsi="Cambria" w:cs="Cambria"/>
      <w:b/>
      <w:bCs/>
      <w:kern w:val="2"/>
      <w:sz w:val="32"/>
      <w:szCs w:val="32"/>
      <w:lang w:val="nl-NL"/>
    </w:rPr>
  </w:style>
  <w:style w:type="character" w:customStyle="1" w:styleId="11">
    <w:name w:val="SDS_TableText_Normal Char"/>
    <w:qFormat/>
    <w:uiPriority w:val="0"/>
    <w:rPr>
      <w:rFonts w:ascii="Arial" w:hAnsi="Arial" w:cs="Arial"/>
      <w:sz w:val="16"/>
      <w:szCs w:val="12"/>
    </w:rPr>
  </w:style>
  <w:style w:type="character" w:customStyle="1" w:styleId="12">
    <w:name w:val="SDS_TableText_Bold Char"/>
    <w:qFormat/>
    <w:uiPriority w:val="0"/>
    <w:rPr>
      <w:rFonts w:ascii="Arial" w:hAnsi="Arial" w:cs="Arial"/>
      <w:b/>
      <w:sz w:val="16"/>
      <w:szCs w:val="12"/>
    </w:rPr>
  </w:style>
  <w:style w:type="character" w:customStyle="1" w:styleId="13">
    <w:name w:val="SDS_TableText_Centered Char"/>
    <w:qFormat/>
    <w:uiPriority w:val="0"/>
    <w:rPr>
      <w:rFonts w:ascii="Arial" w:hAnsi="Arial" w:cs="Arial"/>
      <w:sz w:val="16"/>
      <w:szCs w:val="12"/>
    </w:rPr>
  </w:style>
  <w:style w:type="character" w:customStyle="1" w:styleId="14">
    <w:name w:val="SDS_TableText_Heading1 Char"/>
    <w:qFormat/>
    <w:uiPriority w:val="0"/>
    <w:rPr>
      <w:rFonts w:ascii="Arial" w:hAnsi="Arial" w:cs="Arial"/>
      <w:b/>
      <w:color w:val="0070C0"/>
      <w:sz w:val="18"/>
      <w:szCs w:val="16"/>
    </w:rPr>
  </w:style>
  <w:style w:type="character" w:customStyle="1" w:styleId="15">
    <w:name w:val="SDS_TableText_Heading2 Char"/>
    <w:qFormat/>
    <w:uiPriority w:val="0"/>
    <w:rPr>
      <w:rFonts w:ascii="Arial" w:hAnsi="Arial" w:cs="Arial"/>
      <w:b/>
      <w:color w:val="0070C0"/>
      <w:sz w:val="16"/>
      <w:szCs w:val="16"/>
    </w:rPr>
  </w:style>
  <w:style w:type="character" w:customStyle="1" w:styleId="16">
    <w:name w:val="SDS_Text_BlankLine Char"/>
    <w:qFormat/>
    <w:uiPriority w:val="0"/>
    <w:rPr>
      <w:rFonts w:ascii="Arial" w:hAnsi="Arial" w:cs="Arial"/>
      <w:sz w:val="2"/>
      <w:szCs w:val="16"/>
    </w:rPr>
  </w:style>
  <w:style w:type="character" w:customStyle="1" w:styleId="17">
    <w:name w:val="SDS_Text_Normal Char"/>
    <w:qFormat/>
    <w:uiPriority w:val="0"/>
  </w:style>
  <w:style w:type="character" w:customStyle="1" w:styleId="18">
    <w:name w:val="SDS_Text_Gray Char"/>
    <w:qFormat/>
    <w:uiPriority w:val="0"/>
    <w:rPr>
      <w:rFonts w:ascii="Arial" w:hAnsi="Arial" w:cs="Arial"/>
      <w:color w:val="808080"/>
      <w:sz w:val="16"/>
      <w:szCs w:val="16"/>
    </w:rPr>
  </w:style>
  <w:style w:type="character" w:customStyle="1" w:styleId="19">
    <w:name w:val="SDS_Text_Heading1 Char"/>
    <w:qFormat/>
    <w:uiPriority w:val="0"/>
    <w:rPr>
      <w:b/>
      <w:bCs/>
      <w:color w:val="FFFFFF"/>
      <w:sz w:val="20"/>
      <w:shd w:val="clear" w:fill="2E74B5"/>
      <w:lang w:val="de-DE" w:eastAsia="fr-FR"/>
    </w:rPr>
  </w:style>
  <w:style w:type="character" w:customStyle="1" w:styleId="20">
    <w:name w:val="SDS_Text_Heading2 Char"/>
    <w:qFormat/>
    <w:uiPriority w:val="0"/>
    <w:rPr>
      <w:rFonts w:ascii="Arial" w:hAnsi="Arial" w:cs="Arial"/>
      <w:b/>
      <w:bCs/>
      <w:color w:val="0070C0"/>
      <w:sz w:val="18"/>
      <w:szCs w:val="16"/>
      <w:shd w:val="clear" w:fill="9CC2E5"/>
      <w:lang w:val="de-DE" w:eastAsia="fr-FR"/>
    </w:rPr>
  </w:style>
  <w:style w:type="character" w:customStyle="1" w:styleId="21">
    <w:name w:val="SDS_Text_Heading3 Char"/>
    <w:qFormat/>
    <w:uiPriority w:val="0"/>
    <w:rPr>
      <w:rFonts w:ascii="Arial" w:hAnsi="Arial" w:cs="Arial"/>
      <w:b/>
      <w:bCs/>
      <w:color w:val="0070C0"/>
      <w:sz w:val="16"/>
      <w:szCs w:val="16"/>
    </w:rPr>
  </w:style>
  <w:style w:type="character" w:customStyle="1" w:styleId="22">
    <w:name w:val="SDS_Text_Heading4 Char"/>
    <w:qFormat/>
    <w:uiPriority w:val="0"/>
    <w:rPr>
      <w:rFonts w:ascii="Arial" w:hAnsi="Arial" w:cs="Arial"/>
      <w:b/>
      <w:color w:val="0070C0"/>
      <w:sz w:val="16"/>
      <w:szCs w:val="16"/>
    </w:rPr>
  </w:style>
  <w:style w:type="character" w:customStyle="1" w:styleId="23">
    <w:name w:val="SDS_TableText_ColonColumn Char"/>
    <w:qFormat/>
    <w:uiPriority w:val="0"/>
    <w:rPr>
      <w:rFonts w:ascii="Arial" w:hAnsi="Arial" w:cs="Arial"/>
      <w:sz w:val="16"/>
      <w:szCs w:val="12"/>
    </w:rPr>
  </w:style>
  <w:style w:type="character" w:customStyle="1" w:styleId="24">
    <w:name w:val="SDS_TableText_Header Char"/>
    <w:basedOn w:val="11"/>
    <w:qFormat/>
    <w:uiPriority w:val="0"/>
    <w:rPr>
      <w:rFonts w:ascii="Arial" w:hAnsi="Arial" w:cs="Arial"/>
      <w:sz w:val="14"/>
      <w:szCs w:val="14"/>
    </w:rPr>
  </w:style>
  <w:style w:type="character" w:customStyle="1" w:styleId="25">
    <w:name w:val="Header Char"/>
    <w:basedOn w:val="3"/>
    <w:qFormat/>
    <w:uiPriority w:val="0"/>
    <w:rPr>
      <w:rFonts w:ascii="Arial" w:hAnsi="Arial" w:cs="Arial"/>
      <w:sz w:val="16"/>
      <w:szCs w:val="16"/>
    </w:rPr>
  </w:style>
  <w:style w:type="character" w:customStyle="1" w:styleId="26">
    <w:name w:val="Footer Char"/>
    <w:basedOn w:val="3"/>
    <w:qFormat/>
    <w:uiPriority w:val="0"/>
    <w:rPr>
      <w:rFonts w:ascii="Arial" w:hAnsi="Arial" w:cs="Arial"/>
      <w:sz w:val="16"/>
      <w:szCs w:val="16"/>
    </w:rPr>
  </w:style>
  <w:style w:type="character" w:customStyle="1" w:styleId="27">
    <w:name w:val="Body Text Char"/>
    <w:basedOn w:val="3"/>
    <w:qFormat/>
    <w:uiPriority w:val="0"/>
    <w:rPr>
      <w:rFonts w:ascii="Arial" w:hAnsi="Arial" w:eastAsia="MS Mincho;ＭＳ 明朝" w:cs="Arial"/>
      <w:szCs w:val="24"/>
      <w:lang w:val="en-US" w:eastAsia="fr-FR"/>
    </w:rPr>
  </w:style>
  <w:style w:type="character" w:customStyle="1" w:styleId="28">
    <w:name w:val="Lien Internet"/>
    <w:uiPriority w:val="0"/>
    <w:rPr>
      <w:color w:val="000080"/>
      <w:u w:val="single"/>
      <w:lang w:val="zh-CN" w:eastAsia="zh-CN" w:bidi="zh-CN"/>
    </w:rPr>
  </w:style>
  <w:style w:type="paragraph" w:customStyle="1" w:styleId="29">
    <w:name w:val="Titre1"/>
    <w:basedOn w:val="1"/>
    <w:next w:val="5"/>
    <w:qFormat/>
    <w:uiPriority w:val="0"/>
    <w:pPr>
      <w:keepNext/>
      <w:spacing w:before="240" w:after="120"/>
    </w:pPr>
    <w:rPr>
      <w:rFonts w:ascii="Liberation Sans" w:hAnsi="Liberation Sans" w:eastAsia="Microsoft YaHei" w:cs="Arial"/>
      <w:sz w:val="28"/>
      <w:szCs w:val="28"/>
    </w:rPr>
  </w:style>
  <w:style w:type="paragraph" w:customStyle="1" w:styleId="30">
    <w:name w:val="Index"/>
    <w:basedOn w:val="1"/>
    <w:qFormat/>
    <w:uiPriority w:val="0"/>
    <w:pPr>
      <w:suppressLineNumbers/>
    </w:pPr>
    <w:rPr>
      <w:rFonts w:cs="Arial"/>
      <w:lang w:val="zh-CN" w:eastAsia="zh-CN" w:bidi="zh-CN"/>
    </w:rPr>
  </w:style>
  <w:style w:type="paragraph" w:customStyle="1" w:styleId="31">
    <w:name w:val="Revision"/>
    <w:qFormat/>
    <w:uiPriority w:val="0"/>
    <w:pPr>
      <w:widowControl/>
      <w:suppressAutoHyphens/>
      <w:bidi w:val="0"/>
    </w:pPr>
    <w:rPr>
      <w:rFonts w:ascii="Arial" w:hAnsi="Arial" w:eastAsia="Times New Roman" w:cs="Arial"/>
      <w:color w:val="auto"/>
      <w:sz w:val="16"/>
      <w:szCs w:val="16"/>
      <w:lang w:val="fr-FR" w:eastAsia="zh-CN" w:bidi="hi-IN"/>
    </w:rPr>
  </w:style>
  <w:style w:type="paragraph" w:customStyle="1" w:styleId="32">
    <w:name w:val="SDS_TableText_Normal"/>
    <w:qFormat/>
    <w:uiPriority w:val="0"/>
    <w:pPr>
      <w:keepLines/>
      <w:widowControl/>
      <w:suppressAutoHyphens/>
      <w:bidi w:val="0"/>
      <w:spacing w:line="288" w:lineRule="auto"/>
    </w:pPr>
    <w:rPr>
      <w:rFonts w:ascii="Arial" w:hAnsi="Arial" w:eastAsia="Times New Roman" w:cs="Arial"/>
      <w:color w:val="auto"/>
      <w:sz w:val="16"/>
      <w:szCs w:val="12"/>
      <w:lang w:val="fr-FR" w:eastAsia="zh-CN" w:bidi="hi-IN"/>
    </w:rPr>
  </w:style>
  <w:style w:type="paragraph" w:customStyle="1" w:styleId="33">
    <w:name w:val="SDS_TableText_Bold"/>
    <w:basedOn w:val="32"/>
    <w:qFormat/>
    <w:uiPriority w:val="0"/>
    <w:pPr>
      <w:keepNext/>
      <w:spacing w:before="40" w:after="0"/>
    </w:pPr>
    <w:rPr>
      <w:b/>
    </w:rPr>
  </w:style>
  <w:style w:type="paragraph" w:customStyle="1" w:styleId="34">
    <w:name w:val="SDS_TableText_Centered"/>
    <w:basedOn w:val="32"/>
    <w:qFormat/>
    <w:uiPriority w:val="0"/>
    <w:pPr>
      <w:jc w:val="center"/>
    </w:pPr>
  </w:style>
  <w:style w:type="paragraph" w:customStyle="1" w:styleId="35">
    <w:name w:val="SDS_TableText_Heading1"/>
    <w:qFormat/>
    <w:uiPriority w:val="0"/>
    <w:pPr>
      <w:keepNext/>
      <w:keepLines/>
      <w:widowControl/>
      <w:suppressAutoHyphens/>
      <w:bidi w:val="0"/>
      <w:spacing w:line="288" w:lineRule="auto"/>
    </w:pPr>
    <w:rPr>
      <w:rFonts w:ascii="Arial" w:hAnsi="Arial" w:eastAsia="Times New Roman" w:cs="Arial"/>
      <w:b/>
      <w:color w:val="0070C0"/>
      <w:sz w:val="18"/>
      <w:szCs w:val="16"/>
      <w:lang w:val="fr-FR" w:eastAsia="zh-CN" w:bidi="hi-IN"/>
    </w:rPr>
  </w:style>
  <w:style w:type="paragraph" w:customStyle="1" w:styleId="36">
    <w:name w:val="SDS_TableText_Heading2"/>
    <w:qFormat/>
    <w:uiPriority w:val="0"/>
    <w:pPr>
      <w:keepNext/>
      <w:keepLines/>
      <w:widowControl/>
      <w:suppressAutoHyphens/>
      <w:bidi w:val="0"/>
      <w:spacing w:line="288" w:lineRule="auto"/>
    </w:pPr>
    <w:rPr>
      <w:rFonts w:ascii="Arial" w:hAnsi="Arial" w:eastAsia="Times New Roman" w:cs="Arial"/>
      <w:b/>
      <w:color w:val="0070C0"/>
      <w:sz w:val="16"/>
      <w:szCs w:val="16"/>
      <w:lang w:val="fr-FR" w:eastAsia="zh-CN" w:bidi="hi-IN"/>
    </w:rPr>
  </w:style>
  <w:style w:type="paragraph" w:customStyle="1" w:styleId="37">
    <w:name w:val="SDS_Text_BlankLine"/>
    <w:qFormat/>
    <w:uiPriority w:val="0"/>
    <w:pPr>
      <w:widowControl/>
      <w:suppressAutoHyphens/>
      <w:bidi w:val="0"/>
    </w:pPr>
    <w:rPr>
      <w:rFonts w:ascii="Arial" w:hAnsi="Arial" w:eastAsia="Times New Roman" w:cs="Arial"/>
      <w:color w:val="auto"/>
      <w:sz w:val="2"/>
      <w:szCs w:val="16"/>
      <w:lang w:val="fr-FR" w:eastAsia="zh-CN" w:bidi="hi-IN"/>
    </w:rPr>
  </w:style>
  <w:style w:type="paragraph" w:customStyle="1" w:styleId="38">
    <w:name w:val="SDS_Text_Normal"/>
    <w:qFormat/>
    <w:uiPriority w:val="0"/>
    <w:pPr>
      <w:keepLines/>
      <w:widowControl/>
      <w:suppressAutoHyphens/>
      <w:bidi w:val="0"/>
      <w:spacing w:line="288" w:lineRule="auto"/>
    </w:pPr>
    <w:rPr>
      <w:rFonts w:ascii="Arial" w:hAnsi="Arial" w:eastAsia="Times New Roman" w:cs="Arial"/>
      <w:color w:val="auto"/>
      <w:sz w:val="16"/>
      <w:szCs w:val="16"/>
      <w:lang w:val="fr-FR" w:eastAsia="zh-CN" w:bidi="hi-IN"/>
    </w:rPr>
  </w:style>
  <w:style w:type="paragraph" w:customStyle="1" w:styleId="39">
    <w:name w:val="SDS_Text_Gray"/>
    <w:basedOn w:val="38"/>
    <w:qFormat/>
    <w:uiPriority w:val="0"/>
    <w:pPr>
      <w:spacing w:before="120" w:after="0"/>
    </w:pPr>
    <w:rPr>
      <w:color w:val="808080"/>
    </w:rPr>
  </w:style>
  <w:style w:type="paragraph" w:customStyle="1" w:styleId="40">
    <w:name w:val="SDS_Text_Heading1"/>
    <w:qFormat/>
    <w:uiPriority w:val="0"/>
    <w:pPr>
      <w:keepNext/>
      <w:keepLines/>
      <w:widowControl/>
      <w:pBdr>
        <w:top w:val="single" w:color="2E74B5" w:sz="2" w:space="3"/>
        <w:left w:val="single" w:color="2E74B5" w:sz="2" w:space="0"/>
        <w:bottom w:val="single" w:color="2E74B5" w:sz="2" w:space="3"/>
        <w:right w:val="single" w:color="2E74B5" w:sz="2" w:space="0"/>
      </w:pBdr>
      <w:shd w:val="clear" w:fill="2E74B5"/>
      <w:suppressAutoHyphens/>
      <w:bidi w:val="0"/>
      <w:spacing w:before="360" w:after="120"/>
      <w:ind w:left="312" w:hanging="284"/>
      <w:outlineLvl w:val="0"/>
    </w:pPr>
    <w:rPr>
      <w:rFonts w:ascii="Arial" w:hAnsi="Arial" w:eastAsia="Times New Roman" w:cs="Arial"/>
      <w:b/>
      <w:bCs/>
      <w:color w:val="FFFFFF"/>
      <w:sz w:val="20"/>
      <w:szCs w:val="16"/>
      <w:lang w:val="de-DE" w:eastAsia="fr-FR" w:bidi="hi-IN"/>
    </w:rPr>
  </w:style>
  <w:style w:type="paragraph" w:customStyle="1" w:styleId="41">
    <w:name w:val="SDS_Text_Heading2"/>
    <w:qFormat/>
    <w:uiPriority w:val="0"/>
    <w:pPr>
      <w:keepNext/>
      <w:keepLines/>
      <w:widowControl/>
      <w:pBdr>
        <w:top w:val="single" w:color="9CC2E5" w:sz="2" w:space="2"/>
        <w:left w:val="single" w:color="9CC2E5" w:sz="2" w:space="0"/>
        <w:bottom w:val="single" w:color="9CC2E5" w:sz="2" w:space="2"/>
        <w:right w:val="single" w:color="9CC2E5" w:sz="2" w:space="0"/>
      </w:pBdr>
      <w:shd w:val="clear" w:fill="9CC2E5"/>
      <w:suppressAutoHyphens/>
      <w:bidi w:val="0"/>
      <w:spacing w:before="120" w:after="120"/>
      <w:ind w:left="312" w:hanging="284"/>
      <w:outlineLvl w:val="1"/>
    </w:pPr>
    <w:rPr>
      <w:rFonts w:ascii="Arial" w:hAnsi="Arial" w:eastAsia="Times New Roman" w:cs="Arial"/>
      <w:b/>
      <w:bCs/>
      <w:color w:val="0070C0"/>
      <w:sz w:val="18"/>
      <w:szCs w:val="16"/>
      <w:lang w:val="de-DE" w:eastAsia="fr-FR" w:bidi="hi-IN"/>
    </w:rPr>
  </w:style>
  <w:style w:type="paragraph" w:customStyle="1" w:styleId="42">
    <w:name w:val="SDS_Text_Heading3"/>
    <w:qFormat/>
    <w:uiPriority w:val="0"/>
    <w:pPr>
      <w:keepNext/>
      <w:keepLines/>
      <w:widowControl/>
      <w:suppressAutoHyphens/>
      <w:bidi w:val="0"/>
      <w:spacing w:before="120" w:after="60" w:line="288" w:lineRule="auto"/>
      <w:ind w:left="284" w:hanging="284"/>
      <w:outlineLvl w:val="2"/>
    </w:pPr>
    <w:rPr>
      <w:rFonts w:ascii="Arial" w:hAnsi="Arial" w:eastAsia="Times New Roman" w:cs="Arial"/>
      <w:b/>
      <w:bCs/>
      <w:color w:val="0070C0"/>
      <w:sz w:val="16"/>
      <w:szCs w:val="16"/>
      <w:lang w:val="fr-FR" w:eastAsia="zh-CN" w:bidi="hi-IN"/>
    </w:rPr>
  </w:style>
  <w:style w:type="paragraph" w:customStyle="1" w:styleId="43">
    <w:name w:val="SDS_Text_Heading4"/>
    <w:qFormat/>
    <w:uiPriority w:val="0"/>
    <w:pPr>
      <w:keepNext/>
      <w:keepLines/>
      <w:widowControl/>
      <w:suppressAutoHyphens/>
      <w:bidi w:val="0"/>
      <w:spacing w:before="120" w:after="60" w:line="288" w:lineRule="auto"/>
      <w:ind w:left="284" w:hanging="284"/>
      <w:outlineLvl w:val="3"/>
    </w:pPr>
    <w:rPr>
      <w:rFonts w:ascii="Arial" w:hAnsi="Arial" w:eastAsia="Times New Roman" w:cs="Arial"/>
      <w:b/>
      <w:color w:val="0070C0"/>
      <w:sz w:val="16"/>
      <w:szCs w:val="16"/>
      <w:lang w:val="fr-FR" w:eastAsia="zh-CN" w:bidi="hi-IN"/>
    </w:rPr>
  </w:style>
  <w:style w:type="paragraph" w:customStyle="1" w:styleId="44">
    <w:name w:val="SDS_TableText_ColonColumn"/>
    <w:basedOn w:val="32"/>
    <w:qFormat/>
    <w:uiPriority w:val="0"/>
    <w:pPr>
      <w:jc w:val="center"/>
    </w:pPr>
  </w:style>
  <w:style w:type="paragraph" w:customStyle="1" w:styleId="45">
    <w:name w:val="SDS_TableText_Header"/>
    <w:qFormat/>
    <w:uiPriority w:val="0"/>
    <w:pPr>
      <w:widowControl/>
      <w:suppressAutoHyphens/>
      <w:bidi w:val="0"/>
    </w:pPr>
    <w:rPr>
      <w:rFonts w:ascii="Arial" w:hAnsi="Arial" w:eastAsia="Times New Roman" w:cs="Arial"/>
      <w:color w:val="auto"/>
      <w:sz w:val="14"/>
      <w:szCs w:val="14"/>
      <w:lang w:val="fr-FR" w:eastAsia="zh-CN" w:bidi="hi-IN"/>
    </w:rPr>
  </w:style>
  <w:style w:type="paragraph" w:customStyle="1" w:styleId="46">
    <w:name w:val="SDS_TableText_Footer"/>
    <w:qFormat/>
    <w:uiPriority w:val="0"/>
    <w:pPr>
      <w:widowControl/>
      <w:suppressAutoHyphens/>
      <w:bidi w:val="0"/>
    </w:pPr>
    <w:rPr>
      <w:rFonts w:ascii="Arial" w:hAnsi="Arial" w:eastAsia="Times New Roman" w:cs="Arial"/>
      <w:color w:val="auto"/>
      <w:sz w:val="14"/>
      <w:szCs w:val="14"/>
      <w:lang w:val="fr-FR" w:eastAsia="zh-CN" w:bidi="hi-IN"/>
    </w:rPr>
  </w:style>
  <w:style w:type="paragraph" w:customStyle="1" w:styleId="47">
    <w:name w:val="En-tête et pied de page"/>
    <w:basedOn w:val="1"/>
    <w:qFormat/>
    <w:uiPriority w:val="0"/>
    <w:pPr>
      <w:suppressLineNumbers/>
      <w:tabs>
        <w:tab w:val="center" w:pos="4819"/>
        <w:tab w:val="right" w:pos="9638"/>
      </w:tabs>
    </w:pPr>
  </w:style>
  <w:style w:type="paragraph" w:customStyle="1" w:styleId="48">
    <w:name w:val="Contenu de tableau"/>
    <w:basedOn w:val="1"/>
    <w:qFormat/>
    <w:uiPriority w:val="0"/>
    <w:pPr>
      <w:widowControl w:val="0"/>
      <w:suppressLineNumbers/>
    </w:pPr>
  </w:style>
  <w:style w:type="paragraph" w:customStyle="1" w:styleId="49">
    <w:name w:val="Titre de tableau"/>
    <w:basedOn w:val="48"/>
    <w:qFormat/>
    <w:uiPriority w:val="0"/>
    <w:pPr>
      <w:suppressLineNumbers/>
      <w:jc w:val="center"/>
    </w:pPr>
    <w:rPr>
      <w:b/>
      <w:bCs/>
    </w:rPr>
  </w:style>
  <w:style w:type="table" w:customStyle="1" w:styleId="50">
    <w:name w:val="SDS_Table_WithoutBorders"/>
    <w:basedOn w:val="9"/>
    <w:uiPriority w:val="0"/>
    <w:pPr>
      <w:keepLines/>
    </w:pPr>
    <w:rPr>
      <w:rFonts w:ascii="Arial" w:hAnsi="Arial"/>
      <w:sz w:val="16"/>
    </w:rPr>
    <w:tblPr>
      <w:tblCellMar>
        <w:left w:w="0" w:type="dxa"/>
        <w:right w:w="0" w:type="dxa"/>
      </w:tblCellMar>
    </w:tblPr>
    <w:trPr>
      <w:cantSplit/>
    </w:trPr>
    <w:tcPr>
      <w:shd w:val="clear" w:color="auto" w:fill="auto"/>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3047</Words>
  <Characters>18779</Characters>
  <Paragraphs>621</Paragraphs>
  <TotalTime>0</TotalTime>
  <ScaleCrop>false</ScaleCrop>
  <LinksUpToDate>false</LinksUpToDate>
  <CharactersWithSpaces>21217</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2024-03-09T22:39:26Z</dcterms:created>
  <dc:creator>User</dc:creator>
  <cp:lastModifiedBy>Laetitia Castro</cp:lastModifiedBy>
  <dcterms:modified xsi:type="dcterms:W3CDTF">2024-03-09T22:41:27Z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y fmtid="{D5CDD505-2E9C-101B-9397-08002B2CF9AE}" pid="4" name="KSOProductBuildVer">
    <vt:lpwstr>1036-12.2.0.13489</vt:lpwstr>
  </property>
  <property fmtid="{D5CDD505-2E9C-101B-9397-08002B2CF9AE}" pid="5" name="ICV">
    <vt:lpwstr>CB6E8A09770F4A4C8532DEDFB6AA590A_12</vt:lpwstr>
  </property>
</Properties>
</file>