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right" w:pos="9620"/>
        </w:tabs>
        <w:spacing w:after="370" w:line="259" w:lineRule="auto"/>
        <w:ind w:left="0" w:firstLine="0"/>
        <w:jc w:val="left"/>
      </w:pPr>
      <w:r>
        <w:rPr>
          <w:sz w:val="16"/>
        </w:rPr>
        <w:t>Édité le :</w:t>
      </w:r>
      <w:r>
        <w:rPr>
          <w:sz w:val="16"/>
        </w:rPr>
        <w:tab/>
      </w:r>
      <w:r>
        <w:rPr>
          <w:sz w:val="16"/>
        </w:rPr>
        <w:t>07/06/2022</w:t>
      </w:r>
      <w:r>
        <w:rPr>
          <w:sz w:val="16"/>
        </w:rPr>
        <w:tab/>
      </w:r>
      <w:r>
        <w:rPr>
          <w:sz w:val="16"/>
        </w:rPr>
        <w:t>Révision : 001NEW-1-CLP du 07/06/2022</w:t>
      </w:r>
    </w:p>
    <w:p>
      <w:pPr>
        <w:pStyle w:val="2"/>
      </w:pPr>
      <w:r>
        <w:t>Cannelle orange 10%</w:t>
      </w:r>
    </w:p>
    <w:p>
      <w:pPr>
        <w:pStyle w:val="3"/>
        <w:ind w:left="-5"/>
      </w:pPr>
      <w:r>
        <w:t>1: IDENTIFICATION DE LA SUBSTANCE/DU MELANGE ET DE LA SOCIETE/L'ENTREPRISE</w:t>
      </w:r>
    </w:p>
    <w:p>
      <w:pPr>
        <w:spacing w:after="134"/>
        <w:ind w:right="67"/>
      </w:pPr>
      <w:r>
        <w:t>1.1. Identificateur de produit</w:t>
      </w:r>
    </w:p>
    <w:p>
      <w:pPr>
        <w:spacing w:after="115" w:line="251" w:lineRule="auto"/>
        <w:ind w:left="-5" w:right="7405"/>
        <w:jc w:val="left"/>
      </w:pPr>
      <w:r>
        <w:rPr>
          <w:rFonts w:ascii="Microsoft Sans Serif" w:hAnsi="Microsoft Sans Serif" w:eastAsia="Microsoft Sans Serif" w:cs="Microsoft Sans Serif"/>
          <w:sz w:val="17"/>
        </w:rPr>
        <w:t>Cannelle orange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bookmarkStart w:id="0" w:name="_GoBack"/>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bookmarkEnd w:id="0"/>
    <w:p>
      <w:pPr>
        <w:spacing w:after="153"/>
        <w:ind w:left="0" w:leftChars="0" w:right="67" w:firstLine="0" w:firstLineChars="0"/>
        <w:rPr>
          <w:sz w:val="18"/>
        </w:rPr>
      </w:pPr>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right="7405"/>
        <w:jc w:val="left"/>
      </w:pPr>
      <w:r>
        <w:rPr>
          <w:rFonts w:ascii="Microsoft Sans Serif" w:hAnsi="Microsoft Sans Serif" w:eastAsia="Microsoft Sans Serif" w:cs="Microsoft Sans Serif"/>
          <w:sz w:val="17"/>
        </w:rPr>
        <w:t>(LégislationCLP)</w:t>
      </w:r>
    </w:p>
    <w:p>
      <w:pPr>
        <w:spacing w:after="186" w:line="251"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6" w:line="251"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6" w:line="251" w:lineRule="auto"/>
        <w:ind w:left="-5"/>
        <w:jc w:val="left"/>
      </w:pPr>
      <w:r>
        <w:rPr>
          <w:rFonts w:ascii="Microsoft Sans Serif" w:hAnsi="Microsoft Sans Serif" w:eastAsia="Microsoft Sans Serif" w:cs="Microsoft Sans Serif"/>
          <w:sz w:val="17"/>
        </w:rPr>
        <w:t>EUH208 - Contient 2-(phenylmethylidene)octanal (alpha-hexyl cinnamaldehyde), 3-phenylprop-2-enal (cinnamaldehyde), (4R)1-methyl-4-prop-1-en-2-ylcyclohexene (dextro-limonene), 3,7-dimethylocta-1,6-dien-3-ol (linalool), 3-(1,3-benzodioxol-5-yl)-2methylpropanal (helional) (Repr. 2).  Peut produire une réaction allergique</w:t>
      </w:r>
    </w:p>
    <w:p>
      <w:pPr>
        <w:spacing w:after="136"/>
        <w:ind w:right="67"/>
      </w:pPr>
      <w:r>
        <w:t>2.2. Éléments d'étiquetage</w:t>
      </w:r>
    </w:p>
    <w:p>
      <w:pPr>
        <w:spacing w:after="87" w:line="259" w:lineRule="auto"/>
        <w:ind w:left="-5"/>
        <w:jc w:val="left"/>
      </w:pPr>
      <w:r>
        <w:rPr>
          <w:sz w:val="18"/>
          <w:u w:val="single" w:color="000000"/>
        </w:rPr>
        <w:t>Classification GHS :</w:t>
      </w:r>
    </w:p>
    <w:p>
      <w:pPr>
        <w:spacing w:after="520" w:line="251" w:lineRule="auto"/>
        <w:ind w:left="-5" w:right="740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8"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8" w:line="248" w:lineRule="auto"/>
        <w:ind w:left="-5"/>
        <w:jc w:val="left"/>
      </w:pPr>
      <w:r>
        <w:rPr>
          <w:rFonts w:ascii="Tahoma" w:hAnsi="Tahoma" w:eastAsia="Tahoma" w:cs="Tahoma"/>
          <w:sz w:val="18"/>
        </w:rPr>
        <w:t xml:space="preserve">EUH208 - Contient 2-(phenylmethylidene)octanal (alpha-hexyl cinnamaldehyde), 3-phenylprop-2-enal </w:t>
      </w:r>
    </w:p>
    <w:p>
      <w:pPr>
        <w:spacing w:after="498" w:line="248" w:lineRule="auto"/>
        <w:ind w:left="-5"/>
        <w:jc w:val="left"/>
      </w:pPr>
      <w:r>
        <w:rPr>
          <w:rFonts w:ascii="Tahoma" w:hAnsi="Tahoma" w:eastAsia="Tahoma" w:cs="Tahoma"/>
          <w:sz w:val="18"/>
        </w:rPr>
        <w:t>(cinnamaldehyde), (4R)-1-methyl-4-prop-1-en-2-ylcyclohexene (dextro-limonene), 3,7-dimethylocta-1,6-dien-3-ol (linalool), 3-(1,3-benzodioxol-5-yl)-2-methylpropanal (helional) (Repr. 2).  Peut produire une réaction allergique</w:t>
      </w:r>
    </w:p>
    <w:p>
      <w:pPr>
        <w:spacing w:after="156"/>
        <w:ind w:right="67"/>
      </w:pPr>
      <w:r>
        <w:t>2.3. Autres dangers</w:t>
      </w:r>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48" w:type="dxa"/>
          <w:left w:w="54" w:type="dxa"/>
          <w:bottom w:w="0" w:type="dxa"/>
          <w:right w:w="54" w:type="dxa"/>
        </w:tblCellMar>
      </w:tblPr>
      <w:tblGrid>
        <w:gridCol w:w="3511"/>
        <w:gridCol w:w="991"/>
        <w:gridCol w:w="779"/>
        <w:gridCol w:w="2997"/>
        <w:gridCol w:w="1318"/>
      </w:tblGrid>
      <w:tr>
        <w:tblPrEx>
          <w:tblCellMar>
            <w:top w:w="48" w:type="dxa"/>
            <w:left w:w="54" w:type="dxa"/>
            <w:bottom w:w="0" w:type="dxa"/>
            <w:right w:w="54"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8"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12"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15"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54" w:type="dxa"/>
          </w:tblCellMar>
        </w:tblPrEx>
        <w:trPr>
          <w:trHeight w:val="846" w:hRule="atLeast"/>
        </w:trPr>
        <w:tc>
          <w:tcPr>
            <w:tcW w:w="3511"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5989-27-5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right="9" w:firstLine="0"/>
              <w:jc w:val="left"/>
            </w:pPr>
            <w:r>
              <w:rPr>
                <w:sz w:val="16"/>
              </w:rPr>
              <w:t>Irrit. 2, Skin Sens. 1 - H226, H304, 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65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pPr>
            <w:r>
              <w:rPr>
                <w:sz w:val="16"/>
              </w:rPr>
              <w:t>1,3,4,6,7,8-hexahydro-4,6,6,7,8,8-hexamethylcy clopenta(g)-2-benzopyran (galaxolide)   (No REACH : 01-2119488227-29-0000)</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right="1" w:firstLine="0"/>
              <w:jc w:val="center"/>
            </w:pPr>
            <w:r>
              <w:rPr>
                <w:sz w:val="14"/>
              </w:rPr>
              <w:t>1222-05-5</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214-946-9</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656"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2-(phenylmethylidene)octanal (alpha-hexyl cinnamaldehyde)   (No REACH :</w:t>
            </w:r>
          </w:p>
          <w:p>
            <w:pPr>
              <w:spacing w:after="0" w:line="259" w:lineRule="auto"/>
              <w:ind w:left="0" w:firstLine="0"/>
              <w:jc w:val="left"/>
            </w:pPr>
            <w:r>
              <w:rPr>
                <w:sz w:val="16"/>
              </w:rPr>
              <w:t>01-2119533092-50-XXXX)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101-86-0</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202-983-3</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right="37" w:firstLine="0"/>
              <w:jc w:val="left"/>
            </w:pPr>
            <w:r>
              <w:rPr>
                <w:sz w:val="16"/>
              </w:rPr>
              <w:t>Aquatic Acute 1, Aquatic Chronic 2, Skin Sens. 1B - H317, H400, H411</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4" w:type="dxa"/>
            <w:bottom w:w="0" w:type="dxa"/>
            <w:right w:w="54"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3,7-dimethylocta-1,6-dien-3-ol (linalool)   (No</w:t>
            </w:r>
          </w:p>
          <w:p>
            <w:pPr>
              <w:spacing w:after="0" w:line="259" w:lineRule="auto"/>
              <w:ind w:left="0" w:firstLine="0"/>
              <w:jc w:val="left"/>
            </w:pPr>
            <w:r>
              <w:rPr>
                <w:sz w:val="16"/>
              </w:rPr>
              <w:t>REACH : 01-2119474016-42-XXXX)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78-70-6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201-134-4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4" w:type="dxa"/>
            <w:bottom w:w="0" w:type="dxa"/>
            <w:right w:w="54"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3-(1,3-benzodioxol-5-yl)-2-methylpropanal (helional) (Repr. 2)   (No REACH :</w:t>
            </w:r>
          </w:p>
          <w:p>
            <w:pPr>
              <w:spacing w:after="0" w:line="259" w:lineRule="auto"/>
              <w:ind w:left="0" w:firstLine="0"/>
              <w:jc w:val="left"/>
            </w:pPr>
            <w:r>
              <w:rPr>
                <w:sz w:val="16"/>
              </w:rPr>
              <w:t>01-2120740119-58-0000)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1205-17-0</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214-881-6</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Aquatic Chronic 2, Repr. 2, Skin Sens. 1B - H317, H361,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4" w:type="dxa"/>
            <w:bottom w:w="0" w:type="dxa"/>
            <w:right w:w="54" w:type="dxa"/>
          </w:tblCellMar>
        </w:tblPrEx>
        <w:trPr>
          <w:trHeight w:val="660" w:hRule="atLeast"/>
        </w:trPr>
        <w:tc>
          <w:tcPr>
            <w:tcW w:w="3511" w:type="dxa"/>
            <w:tcBorders>
              <w:top w:val="double" w:color="C0C0C0" w:sz="2" w:space="0"/>
              <w:left w:val="single" w:color="C0C0C0" w:sz="2" w:space="0"/>
              <w:bottom w:val="single" w:color="C0C0C0" w:sz="4" w:space="0"/>
              <w:right w:val="single" w:color="C0C0C0" w:sz="4" w:space="0"/>
            </w:tcBorders>
            <w:vAlign w:val="center"/>
          </w:tcPr>
          <w:p>
            <w:pPr>
              <w:spacing w:after="0" w:line="259" w:lineRule="auto"/>
              <w:ind w:left="0" w:firstLine="0"/>
              <w:jc w:val="left"/>
            </w:pPr>
            <w:r>
              <w:rPr>
                <w:sz w:val="16"/>
              </w:rPr>
              <w:t>3-phenylprop-2-enal (cinnamaldehyde)   (No</w:t>
            </w:r>
          </w:p>
          <w:p>
            <w:pPr>
              <w:spacing w:after="0" w:line="259" w:lineRule="auto"/>
              <w:ind w:left="0" w:firstLine="0"/>
              <w:jc w:val="left"/>
            </w:pPr>
            <w:r>
              <w:rPr>
                <w:sz w:val="16"/>
              </w:rPr>
              <w:t>REACH : 01-2119935242-45-XXXX)</w:t>
            </w:r>
          </w:p>
        </w:tc>
        <w:tc>
          <w:tcPr>
            <w:tcW w:w="991"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22" w:firstLine="0"/>
              <w:jc w:val="center"/>
            </w:pPr>
            <w:r>
              <w:rPr>
                <w:sz w:val="14"/>
              </w:rPr>
              <w:t>104-55-2</w:t>
            </w:r>
          </w:p>
        </w:tc>
        <w:tc>
          <w:tcPr>
            <w:tcW w:w="779"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24" w:firstLine="0"/>
              <w:jc w:val="left"/>
            </w:pPr>
            <w:r>
              <w:rPr>
                <w:sz w:val="14"/>
              </w:rPr>
              <w:t>203-213-9</w:t>
            </w:r>
          </w:p>
        </w:tc>
        <w:tc>
          <w:tcPr>
            <w:tcW w:w="2998" w:type="dxa"/>
            <w:tcBorders>
              <w:top w:val="double" w:color="C0C0C0" w:sz="2" w:space="0"/>
              <w:left w:val="single" w:color="C0C0C0" w:sz="4" w:space="0"/>
              <w:bottom w:val="single" w:color="C0C0C0" w:sz="4" w:space="0"/>
              <w:right w:val="single" w:color="C0C0C0" w:sz="4" w:space="0"/>
            </w:tcBorders>
          </w:tcPr>
          <w:p>
            <w:pPr>
              <w:spacing w:after="0" w:line="259" w:lineRule="auto"/>
              <w:ind w:left="2" w:firstLine="0"/>
              <w:jc w:val="left"/>
            </w:pPr>
            <w:r>
              <w:rPr>
                <w:sz w:val="16"/>
              </w:rPr>
              <w:t>Acute Tox. 4, Eye Irrit. 2, Aquatic</w:t>
            </w:r>
          </w:p>
          <w:p>
            <w:pPr>
              <w:spacing w:after="0" w:line="259" w:lineRule="auto"/>
              <w:ind w:left="2" w:firstLine="0"/>
              <w:jc w:val="left"/>
            </w:pPr>
            <w:r>
              <w:rPr>
                <w:sz w:val="16"/>
              </w:rPr>
              <w:t>Chronic 3, Skin Irrit. 2, Skin Sens. 1A H312, H315, H317, H319, H412</w:t>
            </w:r>
          </w:p>
        </w:tc>
        <w:tc>
          <w:tcPr>
            <w:tcW w:w="1318" w:type="dxa"/>
            <w:tcBorders>
              <w:top w:val="double" w:color="C0C0C0" w:sz="2" w:space="0"/>
              <w:left w:val="single" w:color="C0C0C0" w:sz="4" w:space="0"/>
              <w:bottom w:val="single" w:color="C0C0C0" w:sz="4" w:space="0"/>
              <w:right w:val="single" w:color="C0C0C0" w:sz="2" w:space="0"/>
            </w:tcBorders>
            <w:vAlign w:val="center"/>
          </w:tcPr>
          <w:p>
            <w:pPr>
              <w:spacing w:after="0" w:line="259" w:lineRule="auto"/>
              <w:ind w:left="27" w:firstLine="0"/>
              <w:jc w:val="center"/>
            </w:pPr>
            <w:r>
              <w:rPr>
                <w:sz w:val="16"/>
              </w:rPr>
              <w:t>[ 0-5 ]</w:t>
            </w:r>
          </w:p>
        </w:tc>
      </w:tr>
    </w:tbl>
    <w:p>
      <w:pPr>
        <w:spacing w:after="957"/>
        <w:ind w:left="-5" w:right="67"/>
      </w:pPr>
      <w:r>
        <w:t>COMPOSITION : Mélange de matiéres premières aromatiques.</w:t>
      </w:r>
    </w:p>
    <w:p>
      <w:pPr>
        <w:pStyle w:val="3"/>
        <w:ind w:left="-5"/>
      </w:pPr>
      <w:r>
        <w:t>4: PREMIERS SECOURS</w:t>
      </w:r>
    </w:p>
    <w:p>
      <w:pPr>
        <w:spacing w:after="156"/>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spacing w:after="761" w:line="427" w:lineRule="auto"/>
        <w:ind w:left="-15" w:right="3754" w:firstLine="737"/>
      </w:pPr>
      <w:r>
        <w:t>4.2. Principaux symptômes et effets, aigus et différés Tenir compte des phrases de risques et de sécurité.</w:t>
      </w:r>
    </w:p>
    <w:p>
      <w:pPr>
        <w:spacing w:line="427" w:lineRule="auto"/>
        <w:ind w:left="-15" w:right="67" w:firstLine="737"/>
      </w:pPr>
      <w:r>
        <w:t>4.3. Indication des éventuels soins médicaux immédiats et traitements particuliers nécessaires Traitement spécifique: premier secours, traitement des symptômes.</w:t>
      </w:r>
    </w:p>
    <w:p>
      <w:pPr>
        <w:spacing w:after="756"/>
        <w:ind w:left="-5" w:right="67"/>
      </w:pPr>
      <w:r>
        <w:t>Commentaires pour le médecin: traiter symptômatiquement.</w:t>
      </w:r>
    </w:p>
    <w:p>
      <w:pPr>
        <w:pStyle w:val="3"/>
        <w:ind w:left="-5"/>
      </w:pPr>
      <w:r>
        <w:t>5: MESURES DE LUTTE CONTRE L'INCENDIE</w:t>
      </w:r>
    </w:p>
    <w:p>
      <w:pPr>
        <w:spacing w:after="153"/>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2"/>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22"/>
        <w:ind w:left="-5" w:right="67"/>
      </w:pPr>
      <w:r>
        <w:t>Mettre les personnes en sécurité. Isoler la zone de danger et empêcher l'accès. Aérer les espaces fermés avant d'entrer. Utiliser un équipement de protection individuel, voir section 8.</w:t>
      </w:r>
    </w:p>
    <w:p>
      <w:pPr>
        <w:ind w:right="67"/>
      </w:pPr>
      <w:r>
        <w:t>6.2. Précautions pour la protection de l’environnement</w:t>
      </w:r>
    </w:p>
    <w:p>
      <w:pPr>
        <w:spacing w:after="1098"/>
        <w:ind w:left="-5" w:right="67"/>
      </w:pPr>
      <w:r>
        <w:t>Assurez-vous que les déversements peuvent être contenus, par exemple dans des puisards palette ou des zones de rétention. Ne pas laisser pénétrer dans les eaux de surface ou les égouts.</w:t>
      </w:r>
    </w:p>
    <w:p>
      <w:pPr>
        <w:spacing w:after="156"/>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22"/>
        <w:ind w:left="-5" w:right="3656"/>
      </w:pPr>
      <w:r>
        <w:t>Information supplémentaire sur les conditions de stockage: Protéger les récipients contre les dommages.</w:t>
      </w:r>
    </w:p>
    <w:p>
      <w:pPr>
        <w:spacing w:after="153"/>
        <w:ind w:right="67"/>
      </w:pPr>
      <w:r>
        <w:t>7.3. Utilisation(s) finale(s) particulière(s)</w:t>
      </w:r>
    </w:p>
    <w:p>
      <w:pPr>
        <w:spacing w:after="763"/>
        <w:ind w:left="-5" w:right="67"/>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after="542"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777"/>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9168" w:type="dxa"/>
        <w:tblInd w:w="0" w:type="dxa"/>
        <w:tblLayout w:type="autofit"/>
        <w:tblCellMar>
          <w:top w:w="0" w:type="dxa"/>
          <w:left w:w="0" w:type="dxa"/>
          <w:bottom w:w="0" w:type="dxa"/>
          <w:right w:w="0" w:type="dxa"/>
        </w:tblCellMar>
      </w:tblPr>
      <w:tblGrid>
        <w:gridCol w:w="3096"/>
        <w:gridCol w:w="6072"/>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1272" w:hRule="atLeast"/>
        </w:trPr>
        <w:tc>
          <w:tcPr>
            <w:tcW w:w="3096" w:type="dxa"/>
            <w:tcBorders>
              <w:top w:val="nil"/>
              <w:left w:val="nil"/>
              <w:bottom w:val="nil"/>
              <w:right w:val="nil"/>
            </w:tcBorders>
          </w:tcPr>
          <w:p>
            <w:pPr>
              <w:spacing w:after="292" w:line="259" w:lineRule="auto"/>
              <w:ind w:left="0" w:firstLine="0"/>
              <w:jc w:val="left"/>
            </w:pPr>
            <w:r>
              <w:rPr>
                <w:rFonts w:ascii="Tahoma" w:hAnsi="Tahoma" w:eastAsia="Tahoma" w:cs="Tahoma"/>
                <w:sz w:val="18"/>
              </w:rPr>
              <w:t>Caractéristiques des particules :</w:t>
            </w:r>
          </w:p>
          <w:p>
            <w:pPr>
              <w:spacing w:after="161" w:line="259" w:lineRule="auto"/>
              <w:ind w:left="737" w:firstLine="0"/>
              <w:jc w:val="left"/>
            </w:pPr>
            <w:r>
              <w:t>9.2. Autres informations</w:t>
            </w:r>
          </w:p>
          <w:p>
            <w:pPr>
              <w:spacing w:after="0" w:line="259" w:lineRule="auto"/>
              <w:ind w:left="0" w:firstLine="0"/>
              <w:jc w:val="left"/>
            </w:pPr>
            <w:r>
              <w:rPr>
                <w:rFonts w:ascii="Tahoma" w:hAnsi="Tahoma" w:eastAsia="Tahoma" w:cs="Tahoma"/>
                <w:sz w:val="18"/>
              </w:rPr>
              <w:t>Indice de réfraction (@20°C)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r>
      <w:tr>
        <w:tblPrEx>
          <w:tblCellMar>
            <w:top w:w="0" w:type="dxa"/>
            <w:left w:w="0" w:type="dxa"/>
            <w:bottom w:w="0" w:type="dxa"/>
            <w:right w:w="0" w:type="dxa"/>
          </w:tblCellMar>
        </w:tblPrEx>
        <w:trPr>
          <w:trHeight w:val="49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Conditions de stockage :</w:t>
            </w:r>
          </w:p>
        </w:tc>
        <w:tc>
          <w:tcPr>
            <w:tcW w:w="6072" w:type="dxa"/>
            <w:tcBorders>
              <w:top w:val="nil"/>
              <w:left w:val="nil"/>
              <w:bottom w:val="nil"/>
              <w:right w:val="nil"/>
            </w:tcBorders>
          </w:tcPr>
          <w:p>
            <w:pPr>
              <w:spacing w:after="0" w:line="259" w:lineRule="auto"/>
              <w:ind w:left="0" w:firstLine="0"/>
              <w:jc w:val="left"/>
            </w:pPr>
            <w:r>
              <w:rPr>
                <w:rFonts w:ascii="Tahoma" w:hAnsi="Tahoma" w:eastAsia="Tahoma" w:cs="Tahoma"/>
                <w:b/>
                <w:sz w:val="18"/>
              </w:rPr>
              <w:t>24 mois à faible température entre 15°C et 20°C dans un récipient fermé hermétiquement et à l'abri de la lumière.</w:t>
            </w:r>
          </w:p>
        </w:tc>
      </w:tr>
    </w:tbl>
    <w:p>
      <w:pPr>
        <w:pStyle w:val="3"/>
        <w:ind w:left="-5"/>
      </w:pPr>
      <w:r>
        <w:t>10: STABILITE ET REACTIVITE</w:t>
      </w:r>
    </w:p>
    <w:p>
      <w:pPr>
        <w:spacing w:after="153"/>
        <w:ind w:right="67"/>
      </w:pPr>
      <w:r>
        <w:t>10.1. Réactivité</w:t>
      </w:r>
    </w:p>
    <w:p>
      <w:pPr>
        <w:spacing w:after="676"/>
        <w:ind w:left="-5" w:right="67"/>
      </w:pPr>
      <w:r>
        <w:t>Aucune donnée d'essai spécifique disponible relative à la réactivité de ce produit ou de ses ingrédients.</w:t>
      </w:r>
    </w:p>
    <w:p>
      <w:pPr>
        <w:spacing w:after="156"/>
        <w:ind w:right="67"/>
      </w:pPr>
      <w:r>
        <w:t>10.2. Stabilité chimique</w:t>
      </w:r>
    </w:p>
    <w:p>
      <w:pPr>
        <w:spacing w:after="701"/>
        <w:ind w:left="-5" w:right="67"/>
      </w:pPr>
      <w:r>
        <w:t>La substance est chimiquement stable dans les conditions recommandées de stockage, d'utilisation et de température.</w:t>
      </w:r>
    </w:p>
    <w:p>
      <w:pPr>
        <w:spacing w:after="153"/>
        <w:ind w:right="67"/>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1"/>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3"/>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ind w:right="5546" w:hanging="233"/>
      </w:pPr>
      <w:r>
        <w:t>corrosion cutanée/irritation cutanée</w:t>
      </w:r>
    </w:p>
    <w:p>
      <w:pPr>
        <w:spacing w:after="189"/>
        <w:ind w:left="-5" w:right="67"/>
      </w:pPr>
      <w:r>
        <w:t>voir section 2</w:t>
      </w:r>
    </w:p>
    <w:p>
      <w:pPr>
        <w:numPr>
          <w:ilvl w:val="0"/>
          <w:numId w:val="2"/>
        </w:numPr>
        <w:spacing w:after="193"/>
        <w:ind w:right="5546" w:hanging="233"/>
      </w:pPr>
      <w:r>
        <w:t>lésions oculaires graves/irritation oculairevoir section 2</w:t>
      </w:r>
    </w:p>
    <w:p>
      <w:pPr>
        <w:numPr>
          <w:ilvl w:val="0"/>
          <w:numId w:val="2"/>
        </w:numPr>
        <w:spacing w:after="193"/>
        <w:ind w:right="5546" w:hanging="233"/>
      </w:pPr>
      <w:r>
        <w:t>sensibilisation respiratoire ou cutanéevoir section 2</w:t>
      </w:r>
    </w:p>
    <w:p>
      <w:pPr>
        <w:numPr>
          <w:ilvl w:val="0"/>
          <w:numId w:val="2"/>
        </w:numPr>
        <w:spacing w:after="193"/>
        <w:ind w:right="5546" w:hanging="233"/>
      </w:pPr>
      <w:r>
        <w:t>mutagénicité sur les cellules germinalesvoir section 2</w:t>
      </w:r>
    </w:p>
    <w:p>
      <w:pPr>
        <w:numPr>
          <w:ilvl w:val="0"/>
          <w:numId w:val="2"/>
        </w:numPr>
        <w:spacing w:after="193"/>
        <w:ind w:right="5546" w:hanging="233"/>
      </w:pPr>
      <w:r>
        <w:t>cancérogénicitévoir section 2</w:t>
      </w:r>
    </w:p>
    <w:p>
      <w:pPr>
        <w:numPr>
          <w:ilvl w:val="0"/>
          <w:numId w:val="2"/>
        </w:numPr>
        <w:spacing w:after="193"/>
        <w:ind w:right="5546" w:hanging="233"/>
      </w:pPr>
      <w:r>
        <w:t>toxicité pour la reproductionvoir section 2</w:t>
      </w:r>
    </w:p>
    <w:p>
      <w:pPr>
        <w:numPr>
          <w:ilvl w:val="0"/>
          <w:numId w:val="2"/>
        </w:numPr>
        <w:spacing w:after="193"/>
        <w:ind w:right="5546" w:hanging="233"/>
      </w:pPr>
      <w:r>
        <w:t>toxicité spécifique pour certains organes cibles (STOT) - exposition uniquevoir section 2</w:t>
      </w:r>
    </w:p>
    <w:p>
      <w:pPr>
        <w:numPr>
          <w:ilvl w:val="0"/>
          <w:numId w:val="2"/>
        </w:numPr>
        <w:spacing w:after="193"/>
        <w:ind w:right="5546" w:hanging="233"/>
      </w:pPr>
      <w:r>
        <w:t>toxicité spécifique pour certains organes cibles (STOT) - exposition répétéevoir section 2</w:t>
      </w:r>
    </w:p>
    <w:p>
      <w:pPr>
        <w:numPr>
          <w:ilvl w:val="0"/>
          <w:numId w:val="2"/>
        </w:numPr>
        <w:spacing w:after="915"/>
        <w:ind w:right="5546" w:hanging="233"/>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6"/>
        <w:ind w:right="67"/>
      </w:pPr>
      <w:r>
        <w:t>12.1. Toxicité</w:t>
      </w:r>
    </w:p>
    <w:p>
      <w:pPr>
        <w:spacing w:after="702"/>
        <w:ind w:left="-5" w:right="67"/>
      </w:pPr>
      <w:r>
        <w:t>Ne pas laisser le produit, non dilué ou en grande quantité, pénétrer la nappe phréatique, les eaux superficielles ou les égouts.</w:t>
      </w:r>
    </w:p>
    <w:p>
      <w:pPr>
        <w:spacing w:after="540" w:line="427" w:lineRule="auto"/>
        <w:ind w:left="-15" w:right="5591" w:firstLine="737"/>
      </w:pPr>
      <w:r>
        <w:t>12.2. Persistance et dégradabilité Pas de données à ce jour.</w:t>
      </w:r>
    </w:p>
    <w:p>
      <w:pPr>
        <w:ind w:right="67"/>
      </w:pPr>
      <w:r>
        <w:t>12.3. Potentiel de bioaccumulation</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169"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sécurité</w:t>
            </w:r>
          </w:p>
        </w:tc>
      </w:tr>
      <w:tr>
        <w:tblPrEx>
          <w:tblCellMar>
            <w:top w:w="48" w:type="dxa"/>
            <w:left w:w="0" w:type="dxa"/>
            <w:bottom w:w="0" w:type="dxa"/>
            <w:right w:w="53" w:type="dxa"/>
          </w:tblCellMar>
        </w:tblPrEx>
        <w:trPr>
          <w:trHeight w:val="6853" w:hRule="atLeast"/>
        </w:trPr>
        <w:tc>
          <w:tcPr>
            <w:tcW w:w="6615" w:type="dxa"/>
            <w:tcBorders>
              <w:top w:val="single" w:color="7F7F7F" w:sz="2" w:space="0"/>
              <w:left w:val="nil"/>
              <w:bottom w:val="single" w:color="7F7F7F" w:sz="2" w:space="0"/>
              <w:right w:val="nil"/>
            </w:tcBorders>
          </w:tcPr>
          <w:p>
            <w:pPr>
              <w:tabs>
                <w:tab w:val="center" w:pos="1834"/>
                <w:tab w:val="center" w:pos="4202"/>
              </w:tabs>
              <w:spacing w:after="204" w:line="259" w:lineRule="auto"/>
              <w:ind w:left="0" w:firstLine="0"/>
              <w:jc w:val="left"/>
            </w:pPr>
            <w:r>
              <w:rPr>
                <w:sz w:val="16"/>
              </w:rPr>
              <w:t>Édité le :</w:t>
            </w:r>
            <w:r>
              <w:rPr>
                <w:sz w:val="16"/>
              </w:rPr>
              <w:tab/>
            </w:r>
            <w:r>
              <w:rPr>
                <w:sz w:val="16"/>
              </w:rPr>
              <w:t>07/06/2022</w:t>
            </w:r>
            <w:r>
              <w:rPr>
                <w:sz w:val="16"/>
              </w:rPr>
              <w:tab/>
            </w:r>
            <w:r>
              <w:rPr>
                <w:sz w:val="16"/>
              </w:rPr>
              <w:t>Cannelle orange 10%</w:t>
            </w:r>
          </w:p>
          <w:p>
            <w:pPr>
              <w:spacing w:after="701" w:line="259" w:lineRule="auto"/>
              <w:ind w:left="56" w:firstLine="0"/>
              <w:jc w:val="left"/>
            </w:pPr>
            <w:r>
              <w:t>Pas de données à ce jour.</w:t>
            </w:r>
          </w:p>
          <w:p>
            <w:pPr>
              <w:spacing w:after="542" w:line="427" w:lineRule="auto"/>
              <w:ind w:left="56" w:right="3243" w:firstLine="737"/>
              <w:jc w:val="left"/>
            </w:pPr>
            <w:r>
              <w:t>12.4. Mobilité dans le sol Pas de données à ce jour.</w:t>
            </w:r>
          </w:p>
          <w:p>
            <w:pPr>
              <w:spacing w:after="542" w:line="427" w:lineRule="auto"/>
              <w:ind w:left="56" w:right="1486" w:firstLine="737"/>
              <w:jc w:val="left"/>
            </w:pPr>
            <w:r>
              <w:t>12.5. Résultats des évaluations PBT et vPvB Pas de données à ce jour.</w:t>
            </w:r>
          </w:p>
          <w:p>
            <w:pPr>
              <w:spacing w:after="545" w:line="425"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07/06/2022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64"/>
        <w:ind w:left="-5" w:right="67"/>
      </w:pPr>
      <w:r>
        <w:t>Manipuler les emballages contaminés de la même manière que la substance elle-même.</w:t>
      </w:r>
    </w:p>
    <w:p>
      <w:pPr>
        <w:pStyle w:val="3"/>
        <w:spacing w:after="136"/>
        <w:ind w:left="-5"/>
      </w:pPr>
      <w:r>
        <w:t>14: INFORMATIONS RELATIVES AU TRANSPORT</w:t>
      </w:r>
    </w:p>
    <w:p>
      <w:pPr>
        <w:ind w:left="-5" w:right="67"/>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694"/>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131" w:line="251"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81"/>
        <w:ind w:left="-5" w:right="67"/>
      </w:pPr>
      <w:r>
        <w:t>NON REGLEMENTE</w:t>
      </w:r>
    </w:p>
    <w:p>
      <w:pPr>
        <w:spacing w:after="136"/>
        <w:ind w:right="67"/>
      </w:pPr>
      <w:r>
        <w:t>14.2. Désignation officielle de transport de l'ONU</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6"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14.3. Classe(s) de danger pour le transport</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6"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14.4. Groupe d’emballage</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6"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6" w:line="251" w:lineRule="auto"/>
        <w:ind w:left="-5" w:right="7405"/>
        <w:jc w:val="left"/>
      </w:pPr>
      <w:r>
        <w:rPr>
          <w:rFonts w:ascii="Microsoft Sans Serif" w:hAnsi="Microsoft Sans Serif" w:eastAsia="Microsoft Sans Serif" w:cs="Microsoft Sans Serif"/>
          <w:sz w:val="17"/>
        </w:rPr>
        <w:t>IMDG : NON REGLEMENTE</w:t>
      </w:r>
    </w:p>
    <w:p>
      <w:pPr>
        <w:spacing w:after="134"/>
        <w:ind w:right="67"/>
      </w:pPr>
      <w:r>
        <w:t>14.6. Précautions particulières à prendre par l’utilisateur</w:t>
      </w:r>
    </w:p>
    <w:p>
      <w:pPr>
        <w:spacing w:after="326" w:line="251" w:lineRule="auto"/>
        <w:ind w:left="-5" w:right="740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1" w:line="251"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right="67"/>
      </w:pPr>
      <w:r>
        <w:t>Règlements de l'UE:</w:t>
      </w:r>
    </w:p>
    <w:p>
      <w:pPr>
        <w:spacing w:after="193"/>
        <w:ind w:left="-5" w:right="67"/>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78"/>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91"/>
        <w:ind w:left="-15" w:firstLine="0"/>
        <w:jc w:val="left"/>
      </w:pPr>
      <w:r>
        <w:rPr>
          <w:sz w:val="18"/>
        </w:rPr>
        <w:t>H226</w:t>
      </w:r>
      <w:r>
        <w:rPr>
          <w:sz w:val="18"/>
        </w:rPr>
        <w:tab/>
      </w:r>
      <w:r>
        <w:rPr>
          <w:sz w:val="18"/>
        </w:rPr>
        <w:t>Liquide et vapeurs inflammables.</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702"/>
        </w:tabs>
        <w:spacing w:after="88"/>
        <w:ind w:left="-15" w:firstLine="0"/>
        <w:jc w:val="left"/>
      </w:pPr>
      <w:r>
        <w:rPr>
          <w:sz w:val="18"/>
        </w:rPr>
        <w:t>H312</w:t>
      </w:r>
      <w:r>
        <w:rPr>
          <w:sz w:val="18"/>
        </w:rPr>
        <w:tab/>
      </w:r>
      <w:r>
        <w:rPr>
          <w:sz w:val="18"/>
        </w:rPr>
        <w:t>Nocif par contact cutané.</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91"/>
        <w:ind w:left="-15" w:firstLine="0"/>
        <w:jc w:val="left"/>
      </w:pPr>
      <w:r>
        <w:rPr>
          <w:sz w:val="18"/>
        </w:rPr>
        <w:t>H319</w:t>
      </w:r>
      <w:r>
        <w:rPr>
          <w:sz w:val="18"/>
        </w:rPr>
        <w:tab/>
      </w:r>
      <w:r>
        <w:rPr>
          <w:sz w:val="18"/>
        </w:rPr>
        <w:t>Provoque une sévère irritation des yeux.</w:t>
      </w:r>
    </w:p>
    <w:p>
      <w:pPr>
        <w:spacing w:after="87"/>
        <w:ind w:left="1684" w:hanging="1699"/>
        <w:jc w:val="left"/>
      </w:pPr>
      <w:r>
        <w:rPr>
          <w:sz w:val="18"/>
        </w:rPr>
        <w:t>H361</w:t>
      </w:r>
      <w:r>
        <w:rPr>
          <w:sz w:val="18"/>
        </w:rPr>
        <w:tab/>
      </w:r>
      <w:r>
        <w:rPr>
          <w:sz w:val="18"/>
        </w:rPr>
        <w:t>Susceptible de nuire à la fertilité ou au fœtus &lt;indiquer l'effet s'il est connu&gt; &lt;indiquer la voie d'exposition s'il est formellement prouvé qu'aucune autre voie d'exposition ne conduit au même danger&gt;.</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88"/>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91"/>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54"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center" w:pos="4147"/>
        <w:tab w:val="right" w:pos="9620"/>
      </w:tabs>
      <w:spacing w:after="0" w:line="259" w:lineRule="auto"/>
      <w:ind w:left="0" w:firstLine="0"/>
      <w:jc w:val="left"/>
    </w:pPr>
    <w:r>
      <w:rPr>
        <w:sz w:val="16"/>
      </w:rPr>
      <w:t>Édité le :</w:t>
    </w:r>
    <w:r>
      <w:rPr>
        <w:sz w:val="16"/>
      </w:rPr>
      <w:tab/>
    </w:r>
    <w:r>
      <w:rPr>
        <w:sz w:val="16"/>
      </w:rPr>
      <w:t>07/06/2022</w:t>
    </w:r>
    <w:r>
      <w:rPr>
        <w:sz w:val="16"/>
      </w:rPr>
      <w:tab/>
    </w:r>
    <w:r>
      <w:rPr>
        <w:sz w:val="16"/>
      </w:rPr>
      <w:t>Cannelle orange 10%</w:t>
    </w:r>
    <w:r>
      <w:rPr>
        <w:sz w:val="16"/>
      </w:rPr>
      <w:tab/>
    </w:r>
    <w:r>
      <w:rPr>
        <w:sz w:val="16"/>
      </w:rPr>
      <w:t>Révision : 001NEW-1-CLP du 07/06/2022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center" w:pos="4147"/>
        <w:tab w:val="right" w:pos="9620"/>
      </w:tabs>
      <w:spacing w:after="0" w:line="259" w:lineRule="auto"/>
      <w:ind w:left="0" w:firstLine="0"/>
      <w:jc w:val="left"/>
    </w:pPr>
    <w:r>
      <w:rPr>
        <w:sz w:val="16"/>
      </w:rPr>
      <w:t>Édité le :</w:t>
    </w:r>
    <w:r>
      <w:rPr>
        <w:sz w:val="16"/>
      </w:rPr>
      <w:tab/>
    </w:r>
    <w:r>
      <w:rPr>
        <w:sz w:val="16"/>
      </w:rPr>
      <w:t>07/06/2022</w:t>
    </w:r>
    <w:r>
      <w:rPr>
        <w:sz w:val="16"/>
      </w:rPr>
      <w:tab/>
    </w:r>
    <w:r>
      <w:rPr>
        <w:sz w:val="16"/>
      </w:rPr>
      <w:t>Cannelle orange 10%</w:t>
    </w:r>
    <w:r>
      <w:rPr>
        <w:sz w:val="16"/>
      </w:rPr>
      <w:tab/>
    </w:r>
    <w:r>
      <w:rPr>
        <w:sz w:val="16"/>
      </w:rPr>
      <w:t>Révision : 001NEW-1-CLP du 07/06/2022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07/06/2022</w:t>
    </w:r>
    <w:r>
      <w:rPr>
        <w:sz w:val="16"/>
      </w:rPr>
      <w:tab/>
    </w:r>
    <w:r>
      <w:rPr>
        <w:sz w:val="16"/>
      </w:rPr>
      <w:t>Cannelle orange 10%</w:t>
    </w:r>
    <w:r>
      <w:rPr>
        <w:sz w:val="16"/>
      </w:rPr>
      <w:tab/>
    </w:r>
    <w:r>
      <w:rPr>
        <w:sz w:val="16"/>
      </w:rPr>
      <w:t>Révision : 001NEW-1-CLP du 07/06/2022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7"/>
        <w:tab w:val="center" w:pos="8045"/>
      </w:tabs>
      <w:spacing w:after="0" w:line="259" w:lineRule="auto"/>
      <w:ind w:left="0" w:firstLine="0"/>
      <w:jc w:val="left"/>
    </w:pPr>
    <w:r>
      <w:rPr>
        <w:sz w:val="16"/>
      </w:rPr>
      <w:t>Édité le :</w:t>
    </w:r>
    <w:r>
      <w:rPr>
        <w:sz w:val="16"/>
      </w:rPr>
      <w:tab/>
    </w:r>
    <w:r>
      <w:rPr>
        <w:sz w:val="16"/>
      </w:rPr>
      <w:t>07/06/2022</w:t>
    </w:r>
    <w:r>
      <w:rPr>
        <w:sz w:val="16"/>
      </w:rPr>
      <w:tab/>
    </w:r>
    <w:r>
      <w:rPr>
        <w:sz w:val="16"/>
      </w:rPr>
      <w:t>Cannelle orange 10%</w:t>
    </w:r>
    <w:r>
      <w:rPr>
        <w:sz w:val="16"/>
      </w:rPr>
      <w:tab/>
    </w:r>
    <w:r>
      <w:rPr>
        <w:sz w:val="16"/>
      </w:rPr>
      <w:t>Révision : 001NEW-1-CLP du 07/06/2022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D7DA9"/>
    <w:multiLevelType w:val="multilevel"/>
    <w:tmpl w:val="2AED7DA9"/>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3E78530F"/>
    <w:multiLevelType w:val="multilevel"/>
    <w:tmpl w:val="3E78530F"/>
    <w:lvl w:ilvl="0" w:tentative="0">
      <w:start w:val="2"/>
      <w:numFmt w:val="lowerLetter"/>
      <w:lvlText w:val="%1)"/>
      <w:lvlJc w:val="left"/>
      <w:pPr>
        <w:ind w:left="233"/>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4311226E"/>
    <w:multiLevelType w:val="multilevel"/>
    <w:tmpl w:val="4311226E"/>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26"/>
    <w:rsid w:val="00833FA9"/>
    <w:rsid w:val="008F3A26"/>
    <w:rsid w:val="47E5190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4"/>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3161</Words>
  <Characters>17390</Characters>
  <Lines>144</Lines>
  <Paragraphs>41</Paragraphs>
  <TotalTime>1</TotalTime>
  <ScaleCrop>false</ScaleCrop>
  <LinksUpToDate>false</LinksUpToDate>
  <CharactersWithSpaces>20510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2022-06-07T12:54:00Z</dcterms:created>
  <dc:creator>stagiaire</dc:creator>
  <cp:lastModifiedBy>Laetitia Castro</cp:lastModifiedBy>
  <dcterms:modified xsi:type="dcterms:W3CDTF">2024-02-08T09:47:27Z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7063BC187D18430E9EC3209FF33AC538_12</vt:lpwstr>
  </property>
</Properties>
</file>