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right" w:pos="9620"/>
        </w:tabs>
        <w:spacing w:after="370" w:line="259" w:lineRule="auto"/>
        <w:ind w:left="0" w:firstLine="0"/>
        <w:jc w:val="left"/>
      </w:pPr>
      <w:r>
        <w:rPr>
          <w:sz w:val="16"/>
        </w:rPr>
        <w:t>Édité le :</w:t>
      </w:r>
      <w:r>
        <w:rPr>
          <w:sz w:val="16"/>
        </w:rPr>
        <w:tab/>
      </w:r>
      <w:r>
        <w:rPr>
          <w:sz w:val="16"/>
        </w:rPr>
        <w:t>28/02/2022</w:t>
      </w:r>
      <w:r>
        <w:rPr>
          <w:sz w:val="16"/>
        </w:rPr>
        <w:tab/>
      </w:r>
      <w:r>
        <w:rPr>
          <w:sz w:val="16"/>
        </w:rPr>
        <w:t>Révision : 001NEW-1-CLP du 28/02/2022</w:t>
      </w:r>
    </w:p>
    <w:p>
      <w:pPr>
        <w:pStyle w:val="2"/>
      </w:pPr>
      <w:r>
        <w:t>Piña colada 10%</w:t>
      </w:r>
    </w:p>
    <w:p>
      <w:pPr>
        <w:pStyle w:val="3"/>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Piña colada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rPr>
          <w:sz w:val="18"/>
        </w:rPr>
      </w:pPr>
    </w:p>
    <w:p>
      <w:pPr>
        <w:spacing w:after="153"/>
        <w:ind w:left="0" w:leftChars="0" w:right="67" w:firstLine="0" w:firstLineChars="0"/>
      </w:pPr>
      <w:bookmarkStart w:id="0" w:name="_GoBack"/>
      <w:bookmarkEnd w:id="0"/>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3"/>
        <w:ind w:left="-5"/>
      </w:pPr>
      <w:r>
        <w:t>2: IDENTIFICATION DES DANGERS</w:t>
      </w:r>
    </w:p>
    <w:p>
      <w:pPr>
        <w:ind w:right="67"/>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right="7405"/>
        <w:jc w:val="left"/>
      </w:pPr>
      <w:r>
        <w:rPr>
          <w:rFonts w:ascii="Microsoft Sans Serif" w:hAnsi="Microsoft Sans Serif" w:eastAsia="Microsoft Sans Serif" w:cs="Microsoft Sans Serif"/>
          <w:sz w:val="17"/>
        </w:rPr>
        <w:t>(LégislationCLP)</w:t>
      </w:r>
    </w:p>
    <w:p>
      <w:pPr>
        <w:spacing w:after="186"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5" w:line="251" w:lineRule="auto"/>
        <w:ind w:left="-5"/>
        <w:jc w:val="left"/>
      </w:pPr>
      <w:r>
        <w:rPr>
          <w:rFonts w:ascii="Microsoft Sans Serif" w:hAnsi="Microsoft Sans Serif" w:eastAsia="Microsoft Sans Serif" w:cs="Microsoft Sans Serif"/>
          <w:sz w:val="17"/>
        </w:rPr>
        <w:t>EUH208 - Contient prop-2-enyl 3-cyclohexylpropanoate (allyl cyclohexyl propionate), 2-benzylideneheptanal (alpha-amyl cinnamaldehyde), chromen-2-one (coumarin), (4R)-1-methyl-4-prop-1-en-2-ylcyclohexene (dextro-limonene), hexyl 2hydroxybenzoate (hexyl salicylate), 1,3-benzodioxole-5-carbaldehyde (heliotropin).  Peut produire une réaction allergique</w:t>
      </w:r>
    </w:p>
    <w:p>
      <w:pPr>
        <w:spacing w:after="136"/>
        <w:ind w:right="67"/>
      </w:pPr>
      <w:r>
        <w:t>2.2. Éléments d'étiquetage</w:t>
      </w:r>
    </w:p>
    <w:p>
      <w:pPr>
        <w:spacing w:after="87" w:line="259" w:lineRule="auto"/>
        <w:ind w:left="-5"/>
        <w:jc w:val="left"/>
      </w:pPr>
      <w:r>
        <w:rPr>
          <w:sz w:val="18"/>
          <w:u w:val="single" w:color="000000"/>
        </w:rPr>
        <w:t>Classification GHS :</w:t>
      </w:r>
    </w:p>
    <w:p>
      <w:pPr>
        <w:spacing w:after="520" w:line="251"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right="32"/>
        <w:jc w:val="left"/>
      </w:pPr>
      <w:r>
        <w:rPr>
          <w:rFonts w:ascii="Tahoma" w:hAnsi="Tahoma" w:eastAsia="Tahoma" w:cs="Tahoma"/>
          <w:sz w:val="18"/>
        </w:rPr>
        <w:t>Aquatic Chronic 3 Dangers pour le milieu aquatique - toxicité chronique 3</w:t>
      </w:r>
    </w:p>
    <w:p>
      <w:pPr>
        <w:spacing w:after="204" w:line="248" w:lineRule="auto"/>
        <w:ind w:left="-5" w:right="32"/>
        <w:jc w:val="left"/>
      </w:pPr>
      <w:r>
        <w:rPr>
          <w:rFonts w:ascii="Tahoma" w:hAnsi="Tahoma" w:eastAsia="Tahoma" w:cs="Tahoma"/>
          <w:sz w:val="18"/>
        </w:rPr>
        <w:t>H412 - Nocif pour les organismes aquatiques, entraîne des effets néfastes à long terme.</w:t>
      </w:r>
    </w:p>
    <w:p>
      <w:pPr>
        <w:spacing w:after="8" w:line="248" w:lineRule="auto"/>
        <w:ind w:left="-5" w:right="32"/>
        <w:jc w:val="left"/>
      </w:pPr>
      <w:r>
        <w:rPr>
          <w:rFonts w:ascii="Tahoma" w:hAnsi="Tahoma" w:eastAsia="Tahoma" w:cs="Tahoma"/>
          <w:sz w:val="18"/>
        </w:rPr>
        <w:t>P273 - Éviter le rejet dans l’environnement.</w:t>
      </w:r>
    </w:p>
    <w:p>
      <w:pPr>
        <w:spacing w:after="204" w:line="248" w:lineRule="auto"/>
        <w:ind w:left="-5" w:right="32"/>
        <w:jc w:val="left"/>
      </w:pPr>
      <w:r>
        <w:rPr>
          <w:rFonts w:ascii="Tahoma" w:hAnsi="Tahoma" w:eastAsia="Tahoma" w:cs="Tahoma"/>
          <w:sz w:val="18"/>
        </w:rPr>
        <w:t>P501 - Éliminer le contenu/récipient dans …</w:t>
      </w:r>
    </w:p>
    <w:p>
      <w:pPr>
        <w:spacing w:after="498" w:line="248" w:lineRule="auto"/>
        <w:ind w:left="-5" w:right="32"/>
        <w:jc w:val="left"/>
      </w:pPr>
      <w:r>
        <w:rPr>
          <w:rFonts w:ascii="Tahoma" w:hAnsi="Tahoma" w:eastAsia="Tahoma" w:cs="Tahoma"/>
          <w:sz w:val="18"/>
        </w:rPr>
        <w:t>EUH208 - Contient prop-2-enyl 3-cyclohexylpropanoate (allyl cyclohexyl propionate), 2-benzylideneheptanal (alpha-amyl cinnamaldehyde), chromen-2-one (coumarin), (4R)-1-methyl-4-prop-1-en-2-ylcyclohexene (dextro-limonene), hexyl 2hydroxybenzoate (hexyl salicylate), 1,3-benzodioxole-5-carbaldehyde (heliotropin).  Peut produire une réaction allergique</w:t>
      </w:r>
    </w:p>
    <w:p>
      <w:pPr>
        <w:spacing w:after="156"/>
        <w:ind w:right="67"/>
      </w:pPr>
      <w:r>
        <w:t>2.3. Autres dangers</w:t>
      </w:r>
    </w:p>
    <w:p>
      <w:pPr>
        <w:spacing w:after="784"/>
        <w:ind w:left="-5" w:right="67"/>
      </w:pPr>
      <w:r>
        <w:t xml:space="preserve">Non applicable </w:t>
      </w:r>
    </w:p>
    <w:p>
      <w:pPr>
        <w:pStyle w:val="3"/>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8"/>
        <w:tblW w:w="9596" w:type="dxa"/>
        <w:tblInd w:w="-55" w:type="dxa"/>
        <w:tblLayout w:type="autofit"/>
        <w:tblCellMar>
          <w:top w:w="48" w:type="dxa"/>
          <w:left w:w="54" w:type="dxa"/>
          <w:bottom w:w="0" w:type="dxa"/>
          <w:right w:w="62" w:type="dxa"/>
        </w:tblCellMar>
      </w:tblPr>
      <w:tblGrid>
        <w:gridCol w:w="3510"/>
        <w:gridCol w:w="991"/>
        <w:gridCol w:w="779"/>
        <w:gridCol w:w="2998"/>
        <w:gridCol w:w="1318"/>
      </w:tblGrid>
      <w:tr>
        <w:tblPrEx>
          <w:tblCellMar>
            <w:top w:w="48" w:type="dxa"/>
            <w:left w:w="54" w:type="dxa"/>
            <w:bottom w:w="0" w:type="dxa"/>
            <w:right w:w="62"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62" w:type="dxa"/>
          </w:tblCellMar>
        </w:tblPrEx>
        <w:trPr>
          <w:trHeight w:val="846" w:hRule="atLeast"/>
        </w:trPr>
        <w:tc>
          <w:tcPr>
            <w:tcW w:w="3511" w:type="dxa"/>
            <w:tcBorders>
              <w:top w:val="sing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5989-27-5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62" w:type="dxa"/>
          </w:tblCellMar>
        </w:tblPrEx>
        <w:trPr>
          <w:trHeight w:val="47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1,3-benzodioxole-5-carbaldehyde (heliotropin)</w:t>
            </w:r>
          </w:p>
          <w:p>
            <w:pPr>
              <w:spacing w:after="0" w:line="259" w:lineRule="auto"/>
              <w:ind w:left="1" w:firstLine="0"/>
              <w:jc w:val="left"/>
            </w:pPr>
            <w:r>
              <w:rPr>
                <w:sz w:val="16"/>
              </w:rPr>
              <w:t>(No REACH : 01-2119983608-21-XXXX)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0" w:firstLine="0"/>
              <w:jc w:val="center"/>
            </w:pPr>
            <w:r>
              <w:rPr>
                <w:sz w:val="14"/>
              </w:rPr>
              <w:t>120-57-0</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204-409-7</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Skin Sens. 1B - H317</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48" w:type="dxa"/>
            <w:left w:w="54" w:type="dxa"/>
            <w:bottom w:w="0" w:type="dxa"/>
            <w:right w:w="62" w:type="dxa"/>
          </w:tblCellMar>
        </w:tblPrEx>
        <w:trPr>
          <w:trHeight w:val="65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2-benzylideneheptanal (alpha-amyl cinnamaldehyde)   (No REACH :</w:t>
            </w:r>
          </w:p>
          <w:p>
            <w:pPr>
              <w:spacing w:after="0" w:line="259" w:lineRule="auto"/>
              <w:ind w:left="0" w:firstLine="0"/>
              <w:jc w:val="left"/>
            </w:pPr>
            <w:r>
              <w:rPr>
                <w:sz w:val="16"/>
              </w:rPr>
              <w:t>01-2120740487-49-0000)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122-40-7</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204-541-5</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firstLine="0"/>
              <w:jc w:val="left"/>
            </w:pPr>
            <w:r>
              <w:rPr>
                <w:sz w:val="16"/>
              </w:rPr>
              <w:t>Aquatic Chronic 2, Skin Sens. 1B H317, H411</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48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chromen-2-one (coumarin)   (No REACH : 01-2119943756-26-XXXX)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91-64-5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202-086-7</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4, Skin Sens. 1B - H302, H317</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48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0" w:firstLine="0"/>
              <w:jc w:val="left"/>
            </w:pPr>
            <w:r>
              <w:rPr>
                <w:sz w:val="16"/>
              </w:rPr>
              <w:t>hexyl 2-hydroxybenzoate (hexyl salicylate)   (No REACH : 01-2119638275-36-0000)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6259-76-3</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228-408-6</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right="47" w:firstLine="0"/>
              <w:jc w:val="left"/>
            </w:pPr>
            <w:r>
              <w:rPr>
                <w:sz w:val="16"/>
              </w:rPr>
              <w:t>Aquatic Acute 1, Aquatic Chronic 1, Skin Sens. 1B - H317,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848"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34" w:lineRule="auto"/>
              <w:ind w:left="0" w:firstLine="0"/>
              <w:jc w:val="left"/>
            </w:pPr>
            <w:r>
              <w:rPr>
                <w:sz w:val="16"/>
              </w:rPr>
              <w:t>prop-2-enyl 3-cyclohexylpropanoate (allyl cyclohexyl propionate)   (No REACH :</w:t>
            </w:r>
          </w:p>
          <w:p>
            <w:pPr>
              <w:spacing w:after="0" w:line="259" w:lineRule="auto"/>
              <w:ind w:left="0" w:firstLine="0"/>
              <w:jc w:val="left"/>
            </w:pPr>
            <w:r>
              <w:rPr>
                <w:sz w:val="16"/>
              </w:rPr>
              <w:t>01-2119976355-27-0000)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2705-87-5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220-292-5</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4, Acute Tox. 4, Acute Tox. 4,</w:t>
            </w:r>
          </w:p>
          <w:p>
            <w:pPr>
              <w:spacing w:after="0" w:line="259" w:lineRule="auto"/>
              <w:ind w:left="2" w:firstLine="0"/>
              <w:jc w:val="left"/>
            </w:pPr>
            <w:r>
              <w:rPr>
                <w:sz w:val="16"/>
              </w:rPr>
              <w:t>Aquatic Acute 1, Aquatic Chronic 1,</w:t>
            </w:r>
          </w:p>
          <w:p>
            <w:pPr>
              <w:spacing w:after="0" w:line="259" w:lineRule="auto"/>
              <w:ind w:left="2" w:firstLine="0"/>
              <w:jc w:val="left"/>
            </w:pPr>
            <w:r>
              <w:rPr>
                <w:sz w:val="16"/>
              </w:rPr>
              <w:t>Skin Sens. 1 - H302, H312, H317,</w:t>
            </w:r>
          </w:p>
          <w:p>
            <w:pPr>
              <w:spacing w:after="0" w:line="259" w:lineRule="auto"/>
              <w:ind w:left="2" w:firstLine="0"/>
              <w:jc w:val="left"/>
            </w:pPr>
            <w:r>
              <w:rPr>
                <w:sz w:val="16"/>
              </w:rPr>
              <w:t>H332, 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669"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59" w:lineRule="auto"/>
              <w:ind w:left="0" w:firstLine="0"/>
              <w:jc w:val="left"/>
            </w:pPr>
            <w:r>
              <w:rPr>
                <w:sz w:val="16"/>
              </w:rPr>
              <w:t>prop-2-enyl heptanoate (allyl heptanoate)   (No REACH : 01-2119488961-23-0000)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12" w:firstLine="0"/>
              <w:jc w:val="center"/>
            </w:pPr>
            <w:r>
              <w:rPr>
                <w:sz w:val="14"/>
              </w:rPr>
              <w:t>142-19-8</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205-527-1</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2" w:firstLine="0"/>
              <w:jc w:val="left"/>
            </w:pPr>
            <w:r>
              <w:rPr>
                <w:sz w:val="16"/>
              </w:rPr>
              <w:t>Acute Tox. 3, Acute Tox. 3, Aquatic</w:t>
            </w:r>
          </w:p>
          <w:p>
            <w:pPr>
              <w:spacing w:after="0" w:line="259" w:lineRule="auto"/>
              <w:ind w:left="2" w:firstLine="0"/>
              <w:jc w:val="left"/>
            </w:pPr>
            <w:r>
              <w:rPr>
                <w:sz w:val="16"/>
              </w:rPr>
              <w:t>Acute 1, Aquatic Chronic 3 - H301, H311, H400,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18" w:firstLine="0"/>
              <w:jc w:val="center"/>
            </w:pPr>
            <w:r>
              <w:rPr>
                <w:sz w:val="16"/>
              </w:rPr>
              <w:t>[ 0-5 ]</w:t>
            </w:r>
          </w:p>
        </w:tc>
      </w:tr>
      <w:tr>
        <w:tblPrEx>
          <w:tblCellMar>
            <w:top w:w="48" w:type="dxa"/>
            <w:left w:w="54" w:type="dxa"/>
            <w:bottom w:w="0" w:type="dxa"/>
            <w:right w:w="62" w:type="dxa"/>
          </w:tblCellMar>
        </w:tblPrEx>
        <w:trPr>
          <w:trHeight w:val="659" w:hRule="atLeast"/>
        </w:trPr>
        <w:tc>
          <w:tcPr>
            <w:tcW w:w="3511" w:type="dxa"/>
            <w:tcBorders>
              <w:top w:val="double" w:color="C0C0C0" w:sz="2" w:space="0"/>
              <w:left w:val="single" w:color="C0C0C0" w:sz="2" w:space="0"/>
              <w:bottom w:val="single" w:color="C0C0C0" w:sz="4" w:space="0"/>
              <w:right w:val="single" w:color="C0C0C0" w:sz="4" w:space="0"/>
            </w:tcBorders>
            <w:vAlign w:val="center"/>
          </w:tcPr>
          <w:p>
            <w:pPr>
              <w:spacing w:after="0" w:line="259" w:lineRule="auto"/>
              <w:ind w:left="0" w:firstLine="0"/>
              <w:jc w:val="left"/>
            </w:pPr>
            <w:r>
              <w:rPr>
                <w:sz w:val="16"/>
              </w:rPr>
              <w:t>prop-2-enyl hexanoate (allyl caproate)   (No REACH : 01-2119983573-26-0000)</w:t>
            </w:r>
          </w:p>
        </w:tc>
        <w:tc>
          <w:tcPr>
            <w:tcW w:w="991"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12" w:firstLine="0"/>
              <w:jc w:val="center"/>
            </w:pPr>
            <w:r>
              <w:rPr>
                <w:sz w:val="14"/>
              </w:rPr>
              <w:t>123-68-2</w:t>
            </w:r>
          </w:p>
        </w:tc>
        <w:tc>
          <w:tcPr>
            <w:tcW w:w="779" w:type="dxa"/>
            <w:tcBorders>
              <w:top w:val="double" w:color="C0C0C0" w:sz="2" w:space="0"/>
              <w:left w:val="single" w:color="C0C0C0" w:sz="4" w:space="0"/>
              <w:bottom w:val="single" w:color="C0C0C0" w:sz="4" w:space="0"/>
              <w:right w:val="single" w:color="C0C0C0" w:sz="4" w:space="0"/>
            </w:tcBorders>
            <w:vAlign w:val="center"/>
          </w:tcPr>
          <w:p>
            <w:pPr>
              <w:spacing w:after="0" w:line="259" w:lineRule="auto"/>
              <w:ind w:left="24" w:firstLine="0"/>
              <w:jc w:val="left"/>
            </w:pPr>
            <w:r>
              <w:rPr>
                <w:sz w:val="14"/>
              </w:rPr>
              <w:t>204-642-4</w:t>
            </w:r>
          </w:p>
        </w:tc>
        <w:tc>
          <w:tcPr>
            <w:tcW w:w="2998" w:type="dxa"/>
            <w:tcBorders>
              <w:top w:val="double" w:color="C0C0C0" w:sz="2" w:space="0"/>
              <w:left w:val="single" w:color="C0C0C0" w:sz="4" w:space="0"/>
              <w:bottom w:val="single" w:color="C0C0C0" w:sz="4" w:space="0"/>
              <w:right w:val="single" w:color="C0C0C0" w:sz="4" w:space="0"/>
            </w:tcBorders>
          </w:tcPr>
          <w:p>
            <w:pPr>
              <w:spacing w:after="0" w:line="259" w:lineRule="auto"/>
              <w:ind w:left="2" w:firstLine="0"/>
              <w:jc w:val="left"/>
            </w:pPr>
            <w:r>
              <w:rPr>
                <w:sz w:val="16"/>
              </w:rPr>
              <w:t>Acute Tox. 3, Acute Tox. 3, Acute Tox. 3,</w:t>
            </w:r>
          </w:p>
          <w:p>
            <w:pPr>
              <w:spacing w:after="0" w:line="259" w:lineRule="auto"/>
              <w:ind w:left="2" w:firstLine="0"/>
              <w:jc w:val="left"/>
            </w:pPr>
            <w:r>
              <w:rPr>
                <w:sz w:val="16"/>
              </w:rPr>
              <w:t>Aquatic Acute 1, Aquatic Chronic 3 H301, H311, H331, H400, H412</w:t>
            </w:r>
          </w:p>
        </w:tc>
        <w:tc>
          <w:tcPr>
            <w:tcW w:w="1318" w:type="dxa"/>
            <w:tcBorders>
              <w:top w:val="double" w:color="C0C0C0" w:sz="2" w:space="0"/>
              <w:left w:val="single" w:color="C0C0C0" w:sz="4" w:space="0"/>
              <w:bottom w:val="single" w:color="C0C0C0" w:sz="4" w:space="0"/>
              <w:right w:val="single" w:color="C0C0C0" w:sz="2" w:space="0"/>
            </w:tcBorders>
            <w:vAlign w:val="center"/>
          </w:tcPr>
          <w:p>
            <w:pPr>
              <w:spacing w:after="0" w:line="259" w:lineRule="auto"/>
              <w:ind w:left="18" w:firstLine="0"/>
              <w:jc w:val="center"/>
            </w:pPr>
            <w:r>
              <w:rPr>
                <w:sz w:val="16"/>
              </w:rPr>
              <w:t>[ 0-5 ]</w:t>
            </w:r>
          </w:p>
        </w:tc>
      </w:tr>
    </w:tbl>
    <w:p>
      <w:pPr>
        <w:spacing w:after="960"/>
        <w:ind w:left="-5" w:right="67"/>
      </w:pPr>
      <w:r>
        <w:t>COMPOSITION : Mélange de matiéres premières aromatiques.</w:t>
      </w:r>
    </w:p>
    <w:p>
      <w:pPr>
        <w:pStyle w:val="3"/>
        <w:ind w:left="-5"/>
      </w:pPr>
      <w:r>
        <w:t>4: PREMIERS SECOURS</w:t>
      </w:r>
    </w:p>
    <w:p>
      <w:pPr>
        <w:spacing w:after="156"/>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line="427" w:lineRule="auto"/>
        <w:ind w:left="-15" w:right="3754" w:firstLine="737"/>
      </w:pPr>
      <w:r>
        <w:t>4.2. Principaux symptômes et effets, aigus et différés Tenir compte des phrases de risques et de sécurité.</w:t>
      </w:r>
    </w:p>
    <w:p>
      <w:pPr>
        <w:spacing w:after="156"/>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after="156"/>
        <w:ind w:right="67"/>
      </w:pPr>
      <w:r>
        <w:t>5.2. Dangers particuliers résultant de la substance ou du mélange</w:t>
      </w:r>
    </w:p>
    <w:p>
      <w:pPr>
        <w:ind w:left="-5" w:right="67"/>
      </w:pPr>
      <w:r>
        <w:t>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20"/>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1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100"/>
        <w:ind w:left="-5" w:right="67"/>
      </w:pPr>
      <w:r>
        <w:t>Assurez-vous que les déversements peuvent être contenus, par exemple dans des puisards palette ou des zones de rétention. Ne pas laisser pénétrer dans les eaux de surface ou les égouts.</w:t>
      </w:r>
    </w:p>
    <w:p>
      <w:pPr>
        <w:spacing w:after="153"/>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spacing w:after="193"/>
        <w:ind w:left="-5" w:right="67"/>
      </w:pPr>
      <w:r>
        <w:t>Nettoyer les objets et zones contaminés en observant soigneusement les réglementations environnementales.</w:t>
      </w:r>
    </w:p>
    <w:p>
      <w:pPr>
        <w:spacing w:after="922"/>
        <w:ind w:left="-5" w:right="6763"/>
      </w:pPr>
      <w:r>
        <w:t>6.3.3. Autre information: Aucune.</w:t>
      </w:r>
    </w:p>
    <w:p>
      <w:pPr>
        <w:spacing w:after="156"/>
        <w:ind w:right="67"/>
      </w:pPr>
      <w:r>
        <w:t>6.4. Référence à d’autres rubriques</w:t>
      </w:r>
    </w:p>
    <w:p>
      <w:pPr>
        <w:spacing w:after="784"/>
        <w:ind w:left="-5" w:right="67"/>
      </w:pPr>
      <w:r>
        <w:t>Equipement de protection individuelle: voir la rubrique 8.</w:t>
      </w:r>
    </w:p>
    <w:p>
      <w:pPr>
        <w:pStyle w:val="3"/>
        <w:ind w:left="-5"/>
      </w:pPr>
      <w:r>
        <w:t>7: MANIPULATION ET STOCKAGE</w:t>
      </w:r>
    </w:p>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ind w:left="-5" w:right="67"/>
      </w:pPr>
      <w:r>
        <w:t>Les puits et les égouts doivent être protégés contre la pénétration du produit. Voir la rubrique 8.</w:t>
      </w:r>
    </w:p>
    <w:p>
      <w:pPr>
        <w:ind w:left="-5" w:right="67"/>
      </w:pPr>
      <w:r>
        <w:t>Conseils d'ordre général en matière d'hygiène au travail:</w:t>
      </w:r>
    </w:p>
    <w:p>
      <w:pPr>
        <w:spacing w:after="882"/>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spacing w:after="922"/>
        <w:ind w:left="-5" w:right="3656"/>
      </w:pPr>
      <w:r>
        <w:t>Information supplémentaire sur les conditions de stockage: Protéger les récipients contre les dommages.</w:t>
      </w:r>
    </w:p>
    <w:p>
      <w:pPr>
        <w:spacing w:after="153"/>
        <w:ind w:right="67"/>
      </w:pPr>
      <w:r>
        <w:t>7.3. Utilisation(s) finale(s) particulière(s)</w:t>
      </w:r>
    </w:p>
    <w:p>
      <w:pPr>
        <w:spacing w:after="763"/>
        <w:ind w:left="-5" w:right="67"/>
      </w:pPr>
      <w:r>
        <w:t>Recommandations: respecter les instructions d'utilisation.</w:t>
      </w:r>
    </w:p>
    <w:p>
      <w:pPr>
        <w:pStyle w:val="3"/>
        <w:spacing w:after="122"/>
        <w:ind w:left="-5"/>
      </w:pPr>
      <w:r>
        <w:t>8: CONTROLES DE L'EXPOSITION/PROTECTION INDIVIDUELLE</w:t>
      </w:r>
    </w:p>
    <w:p>
      <w:pPr>
        <w:spacing w:after="715"/>
        <w:ind w:left="-5"/>
        <w:jc w:val="left"/>
      </w:pPr>
      <w:r>
        <w:rPr>
          <w:sz w:val="18"/>
        </w:rPr>
        <w:t>Des examens de médecine préventive du travail sont à effectuer.</w:t>
      </w:r>
    </w:p>
    <w:p>
      <w:pPr>
        <w:spacing w:after="542" w:line="427" w:lineRule="auto"/>
        <w:ind w:left="-15" w:right="6080" w:firstLine="737"/>
      </w:pPr>
      <w:r>
        <w:t>8.1. Paramètres de contrôle Pas de données à ce jour.</w:t>
      </w:r>
    </w:p>
    <w:p>
      <w:pPr>
        <w:spacing w:after="139"/>
        <w:ind w:right="67"/>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976"/>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ind w:right="67"/>
      </w:pPr>
      <w:r>
        <w:t>9.1. Informations sur les propriétés physiques et chimiques essentielles</w:t>
      </w:r>
    </w:p>
    <w:tbl>
      <w:tblPr>
        <w:tblStyle w:val="8"/>
        <w:tblW w:w="5410" w:type="dxa"/>
        <w:tblInd w:w="0" w:type="dxa"/>
        <w:tblLayout w:type="autofit"/>
        <w:tblCellMar>
          <w:top w:w="0" w:type="dxa"/>
          <w:left w:w="0" w:type="dxa"/>
          <w:bottom w:w="0" w:type="dxa"/>
          <w:right w:w="0" w:type="dxa"/>
        </w:tblCellMar>
      </w:tblPr>
      <w:tblGrid>
        <w:gridCol w:w="3096"/>
        <w:gridCol w:w="2314"/>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669"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671"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Viscosité cinématique (mm²/s) :</w:t>
            </w:r>
          </w:p>
          <w:p>
            <w:pPr>
              <w:spacing w:after="0" w:line="259" w:lineRule="auto"/>
              <w:ind w:left="0" w:firstLine="0"/>
              <w:jc w:val="left"/>
            </w:pPr>
            <w:r>
              <w:rPr>
                <w:rFonts w:ascii="Tahoma" w:hAnsi="Tahoma" w:eastAsia="Tahoma" w:cs="Tahoma"/>
                <w:sz w:val="18"/>
              </w:rPr>
              <w:t>Solubilité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Coefficient de partage n-octanol/eau (valeur log) :</w:t>
            </w:r>
          </w:p>
        </w:tc>
        <w:tc>
          <w:tcPr>
            <w:tcW w:w="2314" w:type="dxa"/>
            <w:tcBorders>
              <w:top w:val="nil"/>
              <w:left w:val="nil"/>
              <w:bottom w:val="nil"/>
              <w:right w:val="nil"/>
            </w:tcBorders>
          </w:tcPr>
          <w:p>
            <w:pPr>
              <w:spacing w:after="0" w:line="259" w:lineRule="auto"/>
              <w:ind w:left="0" w:firstLine="0"/>
            </w:pPr>
            <w:r>
              <w:rPr>
                <w:rFonts w:ascii="Tahoma" w:hAnsi="Tahoma" w:eastAsia="Tahoma" w:cs="Tahoma"/>
                <w:b/>
                <w:sz w:val="18"/>
              </w:rPr>
              <w:t>non applicable (mélange)</w:t>
            </w:r>
          </w:p>
        </w:tc>
      </w:tr>
      <w:tr>
        <w:tblPrEx>
          <w:tblCellMar>
            <w:top w:w="0" w:type="dxa"/>
            <w:left w:w="0" w:type="dxa"/>
            <w:bottom w:w="0" w:type="dxa"/>
            <w:right w:w="0" w:type="dxa"/>
          </w:tblCellMar>
        </w:tblPrEx>
        <w:trPr>
          <w:trHeight w:val="886"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Pression de vapeur (mmHg @20°C) :</w:t>
            </w:r>
          </w:p>
          <w:p>
            <w:pPr>
              <w:spacing w:after="0" w:line="259" w:lineRule="auto"/>
              <w:ind w:left="0" w:firstLine="0"/>
              <w:jc w:val="left"/>
            </w:pPr>
            <w:r>
              <w:rPr>
                <w:rFonts w:ascii="Tahoma" w:hAnsi="Tahoma" w:eastAsia="Tahoma" w:cs="Tahoma"/>
                <w:sz w:val="18"/>
              </w:rPr>
              <w:t>Densité et/ou densité relative (@20° C-1 atm.)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33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Densité de vapeur relative (@20°C)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r>
      <w:tr>
        <w:tblPrEx>
          <w:tblCellMar>
            <w:top w:w="0" w:type="dxa"/>
            <w:left w:w="0" w:type="dxa"/>
            <w:bottom w:w="0" w:type="dxa"/>
            <w:right w:w="0" w:type="dxa"/>
          </w:tblCellMar>
        </w:tblPrEx>
        <w:trPr>
          <w:trHeight w:val="276"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Caractéristiques des particules :</w:t>
            </w:r>
          </w:p>
        </w:tc>
        <w:tc>
          <w:tcPr>
            <w:tcW w:w="2314"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bl>
    <w:p>
      <w:pPr>
        <w:ind w:right="67"/>
      </w:pPr>
      <w:r>
        <w:t>9.2. Autres informations</w:t>
      </w:r>
    </w:p>
    <w:p>
      <w:pPr>
        <w:spacing w:after="166" w:line="248" w:lineRule="auto"/>
        <w:ind w:left="-5" w:right="32"/>
        <w:jc w:val="left"/>
      </w:pPr>
      <w:r>
        <w:rPr>
          <w:rFonts w:ascii="Tahoma" w:hAnsi="Tahoma" w:eastAsia="Tahoma" w:cs="Tahoma"/>
          <w:sz w:val="18"/>
        </w:rPr>
        <w:t>Indice de réfraction (@20°C) :</w:t>
      </w:r>
    </w:p>
    <w:p>
      <w:pPr>
        <w:pStyle w:val="3"/>
        <w:ind w:left="-5"/>
      </w:pPr>
      <w:r>
        <w:t>10: STABILITE ET REACTIVITE</w:t>
      </w:r>
    </w:p>
    <w:p>
      <w:pPr>
        <w:spacing w:after="153"/>
        <w:ind w:right="67"/>
      </w:pPr>
      <w:r>
        <w:t>10.1. Réactivité</w:t>
      </w:r>
    </w:p>
    <w:p>
      <w:pPr>
        <w:spacing w:after="676"/>
        <w:ind w:left="-5" w:right="67"/>
      </w:pPr>
      <w:r>
        <w:t>Aucune donnée d'essai spécifique disponible relative à la réactivité de ce produit ou de ses ingrédients.</w:t>
      </w:r>
    </w:p>
    <w:p>
      <w:pPr>
        <w:spacing w:after="156"/>
        <w:ind w:right="67"/>
      </w:pPr>
      <w:r>
        <w:t>10.2. Stabilité chimique</w:t>
      </w:r>
    </w:p>
    <w:p>
      <w:pPr>
        <w:spacing w:after="702"/>
        <w:ind w:left="-5" w:right="67"/>
      </w:pPr>
      <w:r>
        <w:t>La substance est chimiquement stable dans les conditions recommandées de stockage, d'utilisation et de température.</w:t>
      </w:r>
    </w:p>
    <w:p>
      <w:pPr>
        <w:spacing w:after="156"/>
        <w:ind w:right="67"/>
      </w:pPr>
      <w:r>
        <w:t>10.3. Possibilité de réactions dangereuses</w:t>
      </w:r>
    </w:p>
    <w:p>
      <w:pPr>
        <w:spacing w:after="680"/>
        <w:ind w:left="-5" w:right="939"/>
      </w:pPr>
      <w:r>
        <w:t>Aucune réaction dangereuse lorsqu'il est manipulé et stocké conformément aux dispositions. Eviter le contact avec les acides, les bases et les agents oxydants.</w:t>
      </w:r>
    </w:p>
    <w:p>
      <w:pPr>
        <w:spacing w:after="153"/>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2" w:line="427" w:lineRule="auto"/>
        <w:ind w:left="-15" w:right="5753" w:firstLine="737"/>
      </w:pPr>
      <w:r>
        <w:t>10.5. Matières incompatibles Acides - Bases - Agents oxydants.</w:t>
      </w:r>
    </w:p>
    <w:p>
      <w:pPr>
        <w:spacing w:after="153"/>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742"/>
      </w:pPr>
      <w:r>
        <w:t>corrosion cutanée/irritation cutanéevoir section 2</w:t>
      </w:r>
    </w:p>
    <w:p>
      <w:pPr>
        <w:numPr>
          <w:ilvl w:val="0"/>
          <w:numId w:val="2"/>
        </w:numPr>
        <w:spacing w:after="193"/>
        <w:ind w:right="5742"/>
      </w:pPr>
      <w:r>
        <w:t>lésions oculaires graves/irritation oculairevoir section 2</w:t>
      </w:r>
    </w:p>
    <w:p>
      <w:pPr>
        <w:numPr>
          <w:ilvl w:val="0"/>
          <w:numId w:val="2"/>
        </w:numPr>
        <w:spacing w:after="193"/>
        <w:ind w:right="5742"/>
      </w:pPr>
      <w:r>
        <w:t>sensibilisation respiratoire ou cutanéevoir section 2</w:t>
      </w:r>
    </w:p>
    <w:p>
      <w:pPr>
        <w:numPr>
          <w:ilvl w:val="0"/>
          <w:numId w:val="2"/>
        </w:numPr>
        <w:spacing w:after="193"/>
        <w:ind w:right="5742"/>
      </w:pPr>
      <w:r>
        <w:t>mutagénicité sur les cellules germinalesvoir section 2</w:t>
      </w:r>
    </w:p>
    <w:p>
      <w:pPr>
        <w:numPr>
          <w:ilvl w:val="0"/>
          <w:numId w:val="2"/>
        </w:numPr>
        <w:spacing w:after="193"/>
        <w:ind w:right="5742"/>
      </w:pPr>
      <w:r>
        <w:t>cancérogénicitévoir section 2</w:t>
      </w:r>
    </w:p>
    <w:p>
      <w:pPr>
        <w:numPr>
          <w:ilvl w:val="0"/>
          <w:numId w:val="2"/>
        </w:numPr>
        <w:spacing w:after="193"/>
        <w:ind w:right="5742"/>
      </w:pPr>
      <w:r>
        <w:t>toxicité pour la reproductionvoir section 2</w:t>
      </w:r>
    </w:p>
    <w:p>
      <w:pPr>
        <w:numPr>
          <w:ilvl w:val="0"/>
          <w:numId w:val="2"/>
        </w:numPr>
        <w:spacing w:after="193"/>
        <w:ind w:right="5742"/>
      </w:pPr>
      <w:r>
        <w:t>toxicité spécifique pour certains organes cibles (STOT) - exposition uniquevoir section 2</w:t>
      </w:r>
    </w:p>
    <w:p>
      <w:pPr>
        <w:numPr>
          <w:ilvl w:val="0"/>
          <w:numId w:val="2"/>
        </w:numPr>
        <w:spacing w:after="193"/>
        <w:ind w:right="5742"/>
      </w:pPr>
      <w:r>
        <w:t>toxicité spécifique pour certains organes cibles (STOT) - exposition répétéevoir section 2</w:t>
      </w:r>
    </w:p>
    <w:p>
      <w:pPr>
        <w:numPr>
          <w:ilvl w:val="0"/>
          <w:numId w:val="2"/>
        </w:numPr>
        <w:spacing w:after="915"/>
        <w:ind w:right="5742"/>
      </w:pPr>
      <w:r>
        <w:t>danger par aspirationvoir section 2</w:t>
      </w:r>
    </w:p>
    <w:p>
      <w:pPr>
        <w:spacing w:after="156"/>
        <w:ind w:right="67"/>
      </w:pPr>
      <w:r>
        <w:t>11.2.  Informations sur les autres dangers</w:t>
      </w:r>
    </w:p>
    <w:p>
      <w:pPr>
        <w:numPr>
          <w:ilvl w:val="2"/>
          <w:numId w:val="3"/>
        </w:numPr>
        <w:spacing w:after="193"/>
        <w:ind w:right="5742"/>
      </w:pPr>
      <w:r>
        <w:t>Propriétés perturbant le système endocrinien: pas de données à ce jour.</w:t>
      </w:r>
    </w:p>
    <w:p>
      <w:pPr>
        <w:numPr>
          <w:ilvl w:val="2"/>
          <w:numId w:val="3"/>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2"/>
        <w:ind w:left="-5" w:right="67"/>
      </w:pPr>
      <w:r>
        <w:t>Ne pas laisser le produit, non dilué ou en grande quantité, pénétrer la nappe phréatique, les eaux superficielles ou les égouts.</w:t>
      </w:r>
    </w:p>
    <w:p>
      <w:pPr>
        <w:ind w:right="67"/>
      </w:pPr>
      <w:r>
        <w:t>12.2. Persistance et dégradabilité</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090" w:bottom="2130" w:left="1190" w:header="720" w:footer="639" w:gutter="0"/>
          <w:cols w:space="720" w:num="1"/>
          <w:titlePg/>
        </w:sectPr>
      </w:pPr>
    </w:p>
    <w:tbl>
      <w:tblPr>
        <w:tblStyle w:val="8"/>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sécurité</w:t>
            </w:r>
          </w:p>
        </w:tc>
      </w:tr>
      <w:tr>
        <w:tblPrEx>
          <w:tblCellMar>
            <w:top w:w="48" w:type="dxa"/>
            <w:left w:w="0" w:type="dxa"/>
            <w:bottom w:w="0" w:type="dxa"/>
            <w:right w:w="53" w:type="dxa"/>
          </w:tblCellMar>
        </w:tblPrEx>
        <w:trPr>
          <w:trHeight w:val="8212"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207" w:line="259" w:lineRule="auto"/>
              <w:ind w:left="0" w:firstLine="0"/>
              <w:jc w:val="left"/>
            </w:pPr>
            <w:r>
              <w:rPr>
                <w:sz w:val="16"/>
              </w:rPr>
              <w:t>Édité le :</w:t>
            </w:r>
            <w:r>
              <w:rPr>
                <w:sz w:val="16"/>
              </w:rPr>
              <w:tab/>
            </w:r>
            <w:r>
              <w:rPr>
                <w:sz w:val="16"/>
              </w:rPr>
              <w:t>28/02/2022</w:t>
            </w:r>
            <w:r>
              <w:rPr>
                <w:sz w:val="16"/>
              </w:rPr>
              <w:tab/>
            </w:r>
            <w:r>
              <w:rPr>
                <w:sz w:val="16"/>
              </w:rPr>
              <w:t>Piña colada 10%</w:t>
            </w:r>
          </w:p>
          <w:p>
            <w:pPr>
              <w:spacing w:after="701" w:line="259" w:lineRule="auto"/>
              <w:ind w:left="56" w:firstLine="0"/>
              <w:jc w:val="left"/>
            </w:pPr>
            <w:r>
              <w:t>Pas de données à ce jour.</w:t>
            </w:r>
          </w:p>
          <w:p>
            <w:pPr>
              <w:spacing w:after="542" w:line="427" w:lineRule="auto"/>
              <w:ind w:left="56" w:right="2389" w:firstLine="737"/>
              <w:jc w:val="left"/>
            </w:pPr>
            <w:r>
              <w:t>12.3. Potentiel de bioaccumulation Pas de données à ce jour.</w:t>
            </w:r>
          </w:p>
          <w:p>
            <w:pPr>
              <w:spacing w:after="542" w:line="427" w:lineRule="auto"/>
              <w:ind w:left="56" w:right="3243" w:firstLine="737"/>
              <w:jc w:val="left"/>
            </w:pPr>
            <w:r>
              <w:t>12.4. Mobilité dans le sol Pas de données à ce jour.</w:t>
            </w:r>
          </w:p>
          <w:p>
            <w:pPr>
              <w:spacing w:after="545" w:line="425" w:lineRule="auto"/>
              <w:ind w:left="56" w:right="1486" w:firstLine="737"/>
              <w:jc w:val="left"/>
            </w:pPr>
            <w:r>
              <w:t>12.5. Résultats des évaluations PBT et vPvB Pas de données à ce jour.</w:t>
            </w:r>
          </w:p>
          <w:p>
            <w:pPr>
              <w:spacing w:after="542"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28/02/2022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ind w:left="-5" w:right="67"/>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spacing w:after="679"/>
        <w:ind w:left="-5" w:right="67"/>
      </w:pPr>
      <w:r>
        <w:t>NON REGLEMENTE</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2"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7"/>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spacing w:after="685"/>
        <w:ind w:left="-5" w:right="67"/>
      </w:pPr>
      <w:r>
        <w:t>DIRECTIVE 2008/98/CE DU PARLEMENT EUROPÉEN ET DU CONSEIL du 19 novembre 2008 relative aux déchets et abrogeant certaines directives.</w:t>
      </w:r>
    </w:p>
    <w:p>
      <w:pPr>
        <w:spacing w:after="156"/>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3025"/>
        </w:tabs>
        <w:spacing w:after="91"/>
        <w:ind w:left="-15" w:firstLine="0"/>
        <w:jc w:val="left"/>
      </w:pPr>
      <w:r>
        <w:rPr>
          <w:sz w:val="18"/>
        </w:rPr>
        <w:t>H226</w:t>
      </w:r>
      <w:r>
        <w:rPr>
          <w:sz w:val="18"/>
        </w:rPr>
        <w:tab/>
      </w:r>
      <w:r>
        <w:rPr>
          <w:sz w:val="18"/>
        </w:rPr>
        <w:t>Liquide et vapeurs inflammables.</w:t>
      </w:r>
    </w:p>
    <w:p>
      <w:pPr>
        <w:tabs>
          <w:tab w:val="center" w:pos="2783"/>
        </w:tabs>
        <w:spacing w:after="88"/>
        <w:ind w:left="-15" w:firstLine="0"/>
        <w:jc w:val="left"/>
      </w:pPr>
      <w:r>
        <w:rPr>
          <w:sz w:val="18"/>
        </w:rPr>
        <w:t>H301</w:t>
      </w:r>
      <w:r>
        <w:rPr>
          <w:sz w:val="18"/>
        </w:rPr>
        <w:tab/>
      </w:r>
      <w:r>
        <w:rPr>
          <w:sz w:val="18"/>
        </w:rPr>
        <w:t>Toxique en cas d'ingestion.</w:t>
      </w:r>
    </w:p>
    <w:p>
      <w:pPr>
        <w:tabs>
          <w:tab w:val="center" w:pos="2679"/>
        </w:tabs>
        <w:spacing w:after="88"/>
        <w:ind w:left="-15" w:firstLine="0"/>
        <w:jc w:val="left"/>
      </w:pPr>
      <w:r>
        <w:rPr>
          <w:sz w:val="18"/>
        </w:rPr>
        <w:t>H302</w:t>
      </w:r>
      <w:r>
        <w:rPr>
          <w:sz w:val="18"/>
        </w:rPr>
        <w:tab/>
      </w:r>
      <w:r>
        <w:rPr>
          <w:sz w:val="18"/>
        </w:rPr>
        <w:t>Nocif en cas d'ingestion.</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805"/>
        </w:tabs>
        <w:spacing w:after="91"/>
        <w:ind w:left="-15" w:firstLine="0"/>
        <w:jc w:val="left"/>
      </w:pPr>
      <w:r>
        <w:rPr>
          <w:sz w:val="18"/>
        </w:rPr>
        <w:t>H311</w:t>
      </w:r>
      <w:r>
        <w:rPr>
          <w:sz w:val="18"/>
        </w:rPr>
        <w:tab/>
      </w:r>
      <w:r>
        <w:rPr>
          <w:sz w:val="18"/>
        </w:rPr>
        <w:t>Toxique par contact cutané.</w:t>
      </w:r>
    </w:p>
    <w:p>
      <w:pPr>
        <w:tabs>
          <w:tab w:val="center" w:pos="2702"/>
        </w:tabs>
        <w:spacing w:after="88"/>
        <w:ind w:left="-15" w:firstLine="0"/>
        <w:jc w:val="left"/>
      </w:pPr>
      <w:r>
        <w:rPr>
          <w:sz w:val="18"/>
        </w:rPr>
        <w:t>H312</w:t>
      </w:r>
      <w:r>
        <w:rPr>
          <w:sz w:val="18"/>
        </w:rPr>
        <w:tab/>
      </w:r>
      <w:r>
        <w:rPr>
          <w:sz w:val="18"/>
        </w:rPr>
        <w:t>Nocif par contact cutané.</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91"/>
        <w:ind w:left="-15" w:firstLine="0"/>
        <w:jc w:val="left"/>
      </w:pPr>
      <w:r>
        <w:rPr>
          <w:sz w:val="18"/>
        </w:rPr>
        <w:t>H319</w:t>
      </w:r>
      <w:r>
        <w:rPr>
          <w:sz w:val="18"/>
        </w:rPr>
        <w:tab/>
      </w:r>
      <w:r>
        <w:rPr>
          <w:sz w:val="18"/>
        </w:rPr>
        <w:t>Provoque une sévère irritation des yeux.</w:t>
      </w:r>
    </w:p>
    <w:p>
      <w:pPr>
        <w:tabs>
          <w:tab w:val="center" w:pos="2604"/>
        </w:tabs>
        <w:spacing w:after="88"/>
        <w:ind w:left="-15" w:firstLine="0"/>
        <w:jc w:val="left"/>
      </w:pPr>
      <w:r>
        <w:rPr>
          <w:sz w:val="18"/>
        </w:rPr>
        <w:t>H331</w:t>
      </w:r>
      <w:r>
        <w:rPr>
          <w:sz w:val="18"/>
        </w:rPr>
        <w:tab/>
      </w:r>
      <w:r>
        <w:rPr>
          <w:sz w:val="18"/>
        </w:rPr>
        <w:t>Toxique par inhalation.</w:t>
      </w:r>
    </w:p>
    <w:p>
      <w:pPr>
        <w:tabs>
          <w:tab w:val="center" w:pos="2501"/>
        </w:tabs>
        <w:spacing w:after="88"/>
        <w:ind w:left="-15" w:firstLine="0"/>
        <w:jc w:val="left"/>
      </w:pPr>
      <w:r>
        <w:rPr>
          <w:sz w:val="18"/>
        </w:rPr>
        <w:t>H332</w:t>
      </w:r>
      <w:r>
        <w:rPr>
          <w:sz w:val="18"/>
        </w:rPr>
        <w:tab/>
      </w:r>
      <w:r>
        <w:rPr>
          <w:sz w:val="18"/>
        </w:rPr>
        <w:t>Nocif par inhalation.</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281"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28/02/2022</w:t>
    </w:r>
    <w:r>
      <w:rPr>
        <w:sz w:val="16"/>
      </w:rPr>
      <w:tab/>
    </w:r>
    <w:r>
      <w:rPr>
        <w:sz w:val="16"/>
      </w:rPr>
      <w:t>Piña colada 10%</w:t>
    </w:r>
    <w:r>
      <w:rPr>
        <w:sz w:val="16"/>
      </w:rPr>
      <w:tab/>
    </w:r>
    <w:r>
      <w:rPr>
        <w:sz w:val="16"/>
      </w:rPr>
      <w:t>Révision : 001NEW-1-CLP du 28/02/2022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sécurité</w:t>
    </w:r>
  </w:p>
  <w:p>
    <w:pPr>
      <w:tabs>
        <w:tab w:val="center" w:pos="1779"/>
        <w:tab w:val="center" w:pos="4146"/>
        <w:tab w:val="right" w:pos="9620"/>
      </w:tabs>
      <w:spacing w:after="0" w:line="259" w:lineRule="auto"/>
      <w:ind w:left="0" w:firstLine="0"/>
      <w:jc w:val="left"/>
    </w:pPr>
    <w:r>
      <w:rPr>
        <w:sz w:val="16"/>
      </w:rPr>
      <w:t>Édité le :</w:t>
    </w:r>
    <w:r>
      <w:rPr>
        <w:sz w:val="16"/>
      </w:rPr>
      <w:tab/>
    </w:r>
    <w:r>
      <w:rPr>
        <w:sz w:val="16"/>
      </w:rPr>
      <w:t>28/02/2022</w:t>
    </w:r>
    <w:r>
      <w:rPr>
        <w:sz w:val="16"/>
      </w:rPr>
      <w:tab/>
    </w:r>
    <w:r>
      <w:rPr>
        <w:sz w:val="16"/>
      </w:rPr>
      <w:t>Piña colada 10%</w:t>
    </w:r>
    <w:r>
      <w:rPr>
        <w:sz w:val="16"/>
      </w:rPr>
      <w:tab/>
    </w:r>
    <w:r>
      <w:rPr>
        <w:sz w:val="16"/>
      </w:rPr>
      <w:t>Révision : 001NEW-1-CLP du 28/02/2022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Piña colada 10%</w:t>
    </w:r>
    <w:r>
      <w:rPr>
        <w:sz w:val="16"/>
      </w:rPr>
      <w:tab/>
    </w:r>
    <w:r>
      <w:rPr>
        <w:sz w:val="16"/>
      </w:rPr>
      <w:t>Révision : 001NEW-1-CLP du 28/02/2022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28/02/2022</w:t>
    </w:r>
    <w:r>
      <w:rPr>
        <w:sz w:val="16"/>
      </w:rPr>
      <w:tab/>
    </w:r>
    <w:r>
      <w:rPr>
        <w:sz w:val="16"/>
      </w:rPr>
      <w:t>Piña colada 10%</w:t>
    </w:r>
    <w:r>
      <w:rPr>
        <w:sz w:val="16"/>
      </w:rPr>
      <w:tab/>
    </w:r>
    <w:r>
      <w:rPr>
        <w:sz w:val="16"/>
      </w:rPr>
      <w:t>Révision : 001NEW-1-CLP du 28/02/2022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B4AEF"/>
    <w:multiLevelType w:val="multilevel"/>
    <w:tmpl w:val="30FB4AEF"/>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5561527"/>
    <w:multiLevelType w:val="multilevel"/>
    <w:tmpl w:val="55561527"/>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07814E6"/>
    <w:multiLevelType w:val="multilevel"/>
    <w:tmpl w:val="607814E6"/>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1E"/>
    <w:rsid w:val="0009411E"/>
    <w:rsid w:val="00F63632"/>
    <w:rsid w:val="3A713F24"/>
    <w:rsid w:val="477A09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86"/>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3183</Words>
  <Characters>17511</Characters>
  <Lines>145</Lines>
  <Paragraphs>41</Paragraphs>
  <TotalTime>0</TotalTime>
  <ScaleCrop>false</ScaleCrop>
  <LinksUpToDate>false</LinksUpToDate>
  <CharactersWithSpaces>20653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2022-03-01T08:42:00Z</dcterms:created>
  <dc:creator>Loic</dc:creator>
  <cp:lastModifiedBy>Laetitia Castro</cp:lastModifiedBy>
  <dcterms:modified xsi:type="dcterms:W3CDTF">2024-02-08T10:04:27Z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0A0D44CDD504462DB5D6DA621D7B7254</vt:lpwstr>
  </property>
</Properties>
</file>