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right" w:pos="9620"/>
        </w:tabs>
        <w:spacing w:after="370" w:line="259" w:lineRule="auto"/>
        <w:ind w:left="0" w:firstLine="0"/>
        <w:jc w:val="left"/>
      </w:pPr>
      <w:r>
        <w:rPr>
          <w:sz w:val="16"/>
        </w:rPr>
        <w:t>Édité le :</w:t>
      </w:r>
      <w:r>
        <w:rPr>
          <w:sz w:val="16"/>
        </w:rPr>
        <w:tab/>
      </w:r>
      <w:r>
        <w:rPr>
          <w:sz w:val="16"/>
        </w:rPr>
        <w:t>09/02/2022</w:t>
      </w:r>
      <w:r>
        <w:rPr>
          <w:sz w:val="16"/>
        </w:rPr>
        <w:tab/>
      </w:r>
      <w:r>
        <w:rPr>
          <w:sz w:val="16"/>
        </w:rPr>
        <w:t>Révision : 001NEW-1-CLP du 09/02/2022</w:t>
      </w:r>
    </w:p>
    <w:p>
      <w:pPr>
        <w:pStyle w:val="2"/>
      </w:pPr>
      <w:r>
        <w:t>Diamant 10%</w:t>
      </w:r>
    </w:p>
    <w:p>
      <w:pPr>
        <w:pStyle w:val="3"/>
        <w:ind w:left="-5"/>
      </w:pPr>
      <w:r>
        <w:t>1: IDENTIFICATION DE LA SUBSTANCE/DU MELANGE ET DE LA SOCIETE/L'ENTREPRISE</w:t>
      </w:r>
    </w:p>
    <w:p>
      <w:pPr>
        <w:spacing w:after="134"/>
        <w:ind w:right="67"/>
      </w:pPr>
      <w:r>
        <w:t>1.1. Identificateur de produit</w:t>
      </w:r>
    </w:p>
    <w:p>
      <w:pPr>
        <w:spacing w:after="115" w:line="251" w:lineRule="auto"/>
        <w:ind w:left="-5" w:right="125"/>
        <w:jc w:val="left"/>
      </w:pPr>
      <w:r>
        <w:rPr>
          <w:rFonts w:ascii="Microsoft Sans Serif" w:hAnsi="Microsoft Sans Serif" w:eastAsia="Microsoft Sans Serif" w:cs="Microsoft Sans Serif"/>
          <w:sz w:val="17"/>
        </w:rPr>
        <w:t>Diamant 10%</w:t>
      </w:r>
    </w:p>
    <w:p>
      <w:pPr>
        <w:spacing w:after="701"/>
        <w:ind w:left="-5"/>
        <w:jc w:val="left"/>
      </w:pPr>
      <w:r>
        <w:rPr>
          <w:sz w:val="18"/>
        </w:rPr>
        <w:t>U.F.I.   : OUI</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67" w:firstLine="0" w:firstLineChars="0"/>
        <w:rPr>
          <w:sz w:val="18"/>
        </w:rPr>
      </w:pPr>
      <w:bookmarkStart w:id="0" w:name="_GoBack"/>
      <w:bookmarkEnd w:id="0"/>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3"/>
        <w:ind w:left="-5"/>
      </w:pPr>
      <w:r>
        <w:t>2: IDENTIFICATION DES DANGERS</w:t>
      </w:r>
    </w:p>
    <w:p>
      <w:pPr>
        <w:spacing w:after="139"/>
        <w:ind w:right="67"/>
      </w:pPr>
      <w:r>
        <w:t>2.1. Classification de la substance ou du mélange</w:t>
      </w:r>
    </w:p>
    <w:p>
      <w:pPr>
        <w:spacing w:after="86" w:line="259" w:lineRule="auto"/>
        <w:ind w:left="-5"/>
        <w:jc w:val="left"/>
      </w:pPr>
      <w:r>
        <w:rPr>
          <w:sz w:val="18"/>
          <w:u w:val="single" w:color="000000"/>
        </w:rPr>
        <w:t>Classification GHS :</w:t>
      </w:r>
    </w:p>
    <w:p>
      <w:pPr>
        <w:spacing w:after="186" w:line="251" w:lineRule="auto"/>
        <w:ind w:left="-5" w:right="125"/>
        <w:jc w:val="left"/>
      </w:pPr>
      <w:r>
        <w:rPr>
          <w:rFonts w:ascii="Microsoft Sans Serif" w:hAnsi="Microsoft Sans Serif" w:eastAsia="Microsoft Sans Serif" w:cs="Microsoft Sans Serif"/>
          <w:sz w:val="17"/>
        </w:rPr>
        <w:t>(LégislationCLP)</w:t>
      </w:r>
    </w:p>
    <w:p>
      <w:pPr>
        <w:spacing w:after="8" w:line="251" w:lineRule="auto"/>
        <w:ind w:left="-5" w:right="125"/>
        <w:jc w:val="left"/>
      </w:pPr>
      <w:r>
        <w:rPr>
          <w:rFonts w:ascii="Microsoft Sans Serif" w:hAnsi="Microsoft Sans Serif" w:eastAsia="Microsoft Sans Serif" w:cs="Microsoft Sans Serif"/>
          <w:sz w:val="17"/>
        </w:rPr>
        <w:t>Aquatic Chronic 3 Dangers pour le milieu aquatique - toxicité chronique 3</w:t>
      </w:r>
    </w:p>
    <w:p>
      <w:pPr>
        <w:tabs>
          <w:tab w:val="center" w:pos="2384"/>
        </w:tabs>
        <w:spacing w:after="192" w:line="251" w:lineRule="auto"/>
        <w:ind w:left="-15" w:firstLine="0"/>
        <w:jc w:val="left"/>
      </w:pPr>
      <w:r>
        <w:rPr>
          <w:rFonts w:ascii="Microsoft Sans Serif" w:hAnsi="Microsoft Sans Serif" w:eastAsia="Microsoft Sans Serif" w:cs="Microsoft Sans Serif"/>
          <w:sz w:val="17"/>
        </w:rPr>
        <w:t>Skin Sens. 1</w:t>
      </w:r>
      <w:r>
        <w:rPr>
          <w:rFonts w:ascii="Microsoft Sans Serif" w:hAnsi="Microsoft Sans Serif" w:eastAsia="Microsoft Sans Serif" w:cs="Microsoft Sans Serif"/>
          <w:sz w:val="17"/>
        </w:rPr>
        <w:tab/>
      </w:r>
      <w:r>
        <w:rPr>
          <w:rFonts w:ascii="Microsoft Sans Serif" w:hAnsi="Microsoft Sans Serif" w:eastAsia="Microsoft Sans Serif" w:cs="Microsoft Sans Serif"/>
          <w:sz w:val="17"/>
        </w:rPr>
        <w:t>Sensibilisation cutanée 1</w:t>
      </w:r>
    </w:p>
    <w:p>
      <w:pPr>
        <w:spacing w:after="8" w:line="251" w:lineRule="auto"/>
        <w:ind w:left="-5" w:right="125"/>
        <w:jc w:val="left"/>
      </w:pPr>
      <w:r>
        <w:rPr>
          <w:rFonts w:ascii="Microsoft Sans Serif" w:hAnsi="Microsoft Sans Serif" w:eastAsia="Microsoft Sans Serif" w:cs="Microsoft Sans Serif"/>
          <w:sz w:val="17"/>
        </w:rPr>
        <w:t>H317 - Peut provoquer une allergie cutanée.</w:t>
      </w:r>
    </w:p>
    <w:p>
      <w:pPr>
        <w:spacing w:after="186" w:line="251" w:lineRule="auto"/>
        <w:ind w:left="-5" w:right="12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0" w:line="251" w:lineRule="auto"/>
        <w:ind w:left="-5" w:right="125"/>
        <w:jc w:val="left"/>
      </w:pPr>
      <w:r>
        <w:rPr>
          <w:rFonts w:ascii="Microsoft Sans Serif" w:hAnsi="Microsoft Sans Serif" w:eastAsia="Microsoft Sans Serif" w:cs="Microsoft Sans Serif"/>
          <w:sz w:val="17"/>
        </w:rPr>
        <w:t>EUH208 - Contient benzyl 2-hydroxybenzoate (benzyl salicylate), 1,1,2,3,3-pentamethyl-2,5,6,7-tetrahydroinden-4-one (cashmeran), ethoxymethoxycyclododecane (boisambrene), ethyl 3-methyl-3-phenyloxirane-2-carboxylate (aldehyde C-16), reaction mass of 1-(1,2,3,4,5,6,7,8 and 1-(1,2,3,4,6,7,8,8a and 1-(1,2,3,5,6,7,8,8a-octahydro-2,3,8,8-tetramethyl-2-naphthyl) ethan-1-one (iso e super).  Peut produire une réaction allergique</w:t>
      </w:r>
    </w:p>
    <w:p>
      <w:pPr>
        <w:spacing w:after="139"/>
        <w:ind w:right="67"/>
      </w:pPr>
      <w:r>
        <w:t>2.2. Éléments d'étiquetage</w:t>
      </w:r>
    </w:p>
    <w:p>
      <w:pPr>
        <w:spacing w:after="86" w:line="259" w:lineRule="auto"/>
        <w:ind w:left="-5"/>
        <w:jc w:val="left"/>
      </w:pPr>
      <w:r>
        <w:rPr>
          <w:sz w:val="18"/>
          <w:u w:val="single" w:color="000000"/>
        </w:rPr>
        <w:t>Classification GHS :</w:t>
      </w:r>
    </w:p>
    <w:p>
      <w:pPr>
        <w:spacing w:after="475" w:line="251" w:lineRule="auto"/>
        <w:ind w:left="-5" w:right="125"/>
        <w:jc w:val="left"/>
      </w:pPr>
      <w:r>
        <w:rPr>
          <w:rFonts w:ascii="Microsoft Sans Serif" w:hAnsi="Microsoft Sans Serif" w:eastAsia="Microsoft Sans Serif" w:cs="Microsoft Sans Serif"/>
          <w:sz w:val="17"/>
        </w:rPr>
        <w:t>(LégislationCLP)</w:t>
      </w:r>
    </w:p>
    <w:p>
      <w:pPr>
        <w:spacing w:after="103" w:line="259" w:lineRule="auto"/>
        <w:ind w:left="828" w:firstLine="0"/>
        <w:jc w:val="left"/>
      </w:pPr>
      <w:r>
        <w:drawing>
          <wp:inline distT="0" distB="0" distL="0" distR="0">
            <wp:extent cx="601980" cy="60198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8"/>
                    <a:stretch>
                      <a:fillRect/>
                    </a:stretch>
                  </pic:blipFill>
                  <pic:spPr>
                    <a:xfrm>
                      <a:off x="0" y="0"/>
                      <a:ext cx="601980" cy="601980"/>
                    </a:xfrm>
                    <a:prstGeom prst="rect">
                      <a:avLst/>
                    </a:prstGeom>
                  </pic:spPr>
                </pic:pic>
              </a:graphicData>
            </a:graphic>
          </wp:inline>
        </w:drawing>
      </w:r>
    </w:p>
    <w:p>
      <w:pPr>
        <w:spacing w:after="204" w:line="248" w:lineRule="auto"/>
        <w:ind w:left="-5" w:right="39"/>
        <w:jc w:val="left"/>
      </w:pPr>
      <w:r>
        <w:rPr>
          <w:rFonts w:ascii="Tahoma" w:hAnsi="Tahoma" w:eastAsia="Tahoma" w:cs="Tahoma"/>
          <w:sz w:val="18"/>
        </w:rPr>
        <w:t>Mention d'avertissement :  ATTENTION</w:t>
      </w:r>
    </w:p>
    <w:p>
      <w:pPr>
        <w:spacing w:after="214" w:line="248" w:lineRule="auto"/>
        <w:ind w:left="-5" w:right="3498"/>
        <w:jc w:val="left"/>
      </w:pPr>
      <w:r>
        <w:rPr>
          <w:rFonts w:ascii="Tahoma" w:hAnsi="Tahoma" w:eastAsia="Tahoma" w:cs="Tahoma"/>
          <w:sz w:val="18"/>
        </w:rPr>
        <w:t>Aquatic Chronic 3 Dangers pour le milieu aquatique - toxicité chronique 3 Skin Sens. 1</w:t>
      </w:r>
      <w:r>
        <w:rPr>
          <w:rFonts w:ascii="Tahoma" w:hAnsi="Tahoma" w:eastAsia="Tahoma" w:cs="Tahoma"/>
          <w:sz w:val="18"/>
        </w:rPr>
        <w:tab/>
      </w:r>
      <w:r>
        <w:rPr>
          <w:rFonts w:ascii="Tahoma" w:hAnsi="Tahoma" w:eastAsia="Tahoma" w:cs="Tahoma"/>
          <w:sz w:val="18"/>
        </w:rPr>
        <w:t>Sensibilisation cutanée 1</w:t>
      </w:r>
    </w:p>
    <w:p>
      <w:pPr>
        <w:spacing w:after="4" w:line="248" w:lineRule="auto"/>
        <w:ind w:left="-5" w:right="39"/>
        <w:jc w:val="left"/>
      </w:pPr>
      <w:r>
        <w:rPr>
          <w:rFonts w:ascii="Tahoma" w:hAnsi="Tahoma" w:eastAsia="Tahoma" w:cs="Tahoma"/>
          <w:sz w:val="18"/>
        </w:rPr>
        <w:t>H317 - Peut provoquer une allergie cutanée.</w:t>
      </w:r>
    </w:p>
    <w:p>
      <w:pPr>
        <w:spacing w:after="204" w:line="248" w:lineRule="auto"/>
        <w:ind w:left="-5" w:right="39"/>
        <w:jc w:val="left"/>
      </w:pPr>
      <w:r>
        <w:rPr>
          <w:rFonts w:ascii="Tahoma" w:hAnsi="Tahoma" w:eastAsia="Tahoma" w:cs="Tahoma"/>
          <w:sz w:val="18"/>
        </w:rPr>
        <w:t>H412 - Nocif pour les organismes aquatiques, entraîne des effets néfastes à long terme.</w:t>
      </w:r>
    </w:p>
    <w:p>
      <w:pPr>
        <w:spacing w:after="4" w:line="248" w:lineRule="auto"/>
        <w:ind w:left="-5" w:right="39"/>
        <w:jc w:val="left"/>
      </w:pPr>
      <w:r>
        <w:rPr>
          <w:rFonts w:ascii="Tahoma" w:hAnsi="Tahoma" w:eastAsia="Tahoma" w:cs="Tahoma"/>
          <w:sz w:val="18"/>
        </w:rPr>
        <w:t>P261 - Éviter de respirer les poussières/fumées/gaz/brouillards/vapeurs/aérosols.</w:t>
      </w:r>
    </w:p>
    <w:p>
      <w:pPr>
        <w:spacing w:after="4" w:line="248" w:lineRule="auto"/>
        <w:ind w:left="-5" w:right="39"/>
        <w:jc w:val="left"/>
      </w:pPr>
      <w:r>
        <w:rPr>
          <w:rFonts w:ascii="Tahoma" w:hAnsi="Tahoma" w:eastAsia="Tahoma" w:cs="Tahoma"/>
          <w:sz w:val="18"/>
        </w:rPr>
        <w:t>P272 - Les vêtements de travail contaminés ne devraient pas sortir du lieu de travail.</w:t>
      </w:r>
    </w:p>
    <w:p>
      <w:pPr>
        <w:spacing w:after="4" w:line="248" w:lineRule="auto"/>
        <w:ind w:left="-5" w:right="39"/>
        <w:jc w:val="left"/>
      </w:pPr>
      <w:r>
        <w:rPr>
          <w:rFonts w:ascii="Tahoma" w:hAnsi="Tahoma" w:eastAsia="Tahoma" w:cs="Tahoma"/>
          <w:sz w:val="18"/>
        </w:rPr>
        <w:t>P273 - Éviter le rejet dans l’environnement.</w:t>
      </w:r>
    </w:p>
    <w:p>
      <w:pPr>
        <w:spacing w:after="4" w:line="248" w:lineRule="auto"/>
        <w:ind w:left="-5" w:right="39"/>
        <w:jc w:val="left"/>
      </w:pPr>
      <w:r>
        <w:rPr>
          <w:rFonts w:ascii="Tahoma" w:hAnsi="Tahoma" w:eastAsia="Tahoma" w:cs="Tahoma"/>
          <w:sz w:val="18"/>
        </w:rPr>
        <w:t>P280 - Porter des gants de protection/des vêtements de protection/un équipement de protection des yeux/du visage/une protection auditive/ …</w:t>
      </w:r>
    </w:p>
    <w:p>
      <w:pPr>
        <w:spacing w:after="208" w:line="248" w:lineRule="auto"/>
        <w:ind w:left="-5" w:right="2678"/>
        <w:jc w:val="left"/>
      </w:pPr>
      <w:r>
        <w:rPr>
          <w:rFonts w:ascii="Tahoma" w:hAnsi="Tahoma" w:eastAsia="Tahoma" w:cs="Tahoma"/>
          <w:sz w:val="18"/>
        </w:rPr>
        <w:t>P302+P352 - EN CAS DE CONTACT AVEC LA PEAU: Laver abondamment à l’eau/… P321 - Traitement spécifique (voir … sur cette étiquette).</w:t>
      </w:r>
    </w:p>
    <w:p>
      <w:pPr>
        <w:spacing w:after="4" w:line="248" w:lineRule="auto"/>
        <w:ind w:left="-5" w:right="39"/>
        <w:jc w:val="left"/>
      </w:pPr>
      <w:r>
        <w:rPr>
          <w:rFonts w:ascii="Tahoma" w:hAnsi="Tahoma" w:eastAsia="Tahoma" w:cs="Tahoma"/>
          <w:sz w:val="18"/>
        </w:rPr>
        <w:t xml:space="preserve">EUH208 - Contient benzyl 2-hydroxybenzoate (benzyl salicylate), 1,1,2,3,3-pentamethyl-2,5,6,7-tetrahydroinden-4-one </w:t>
      </w:r>
    </w:p>
    <w:p>
      <w:pPr>
        <w:spacing w:after="496" w:line="248" w:lineRule="auto"/>
        <w:ind w:left="-5" w:right="39"/>
        <w:jc w:val="left"/>
      </w:pPr>
      <w:r>
        <w:rPr>
          <w:rFonts w:ascii="Tahoma" w:hAnsi="Tahoma" w:eastAsia="Tahoma" w:cs="Tahoma"/>
          <w:sz w:val="18"/>
        </w:rPr>
        <w:t>(cashmeran), ethoxymethoxycyclododecane (boisambrene), ethyl 3-methyl-3-phenyloxirane-2-carboxylate (aldehyde C16), reaction mass of 1-(1,2,3,4,5,6,7,8 and 1-(1,2,3,4,6,7,8,8a and 1-(1,2,3,5,6,7,8,8a-octahydro-2,3,8,8-tetramethyl2-naphthyl)ethan-1-one (iso e super).  Peut produire une réaction allergique</w:t>
      </w:r>
    </w:p>
    <w:p>
      <w:pPr>
        <w:spacing w:after="158"/>
        <w:ind w:right="67"/>
      </w:pPr>
      <w:r>
        <w:t>2.3. Autres dangers</w:t>
      </w:r>
    </w:p>
    <w:p>
      <w:pPr>
        <w:spacing w:after="0" w:line="237" w:lineRule="auto"/>
        <w:ind w:left="-5"/>
        <w:jc w:val="left"/>
      </w:pPr>
      <w:r>
        <w:rPr>
          <w:rFonts w:ascii="Tahoma" w:hAnsi="Tahoma" w:eastAsia="Tahoma" w:cs="Tahoma"/>
          <w:b/>
          <w:sz w:val="18"/>
        </w:rPr>
        <w:t xml:space="preserve">Contient  reaction mass of 1-(1,2,3,4,5,6,7,8 and 1-(1,2,3,4,6,7,8,8a and 1-(1,2,3,5,6,7,8,8a-octahydro2,3,8,8-tetramethyl-2-naphthyl)ethan-1-one (iso e super),   benzyl 2-hydroxybenzoate (benzyl salicylate),   ethyl 3-methyl-3-phenyloxirane-2-carboxylate (aldehyde C-16),   </w:t>
      </w:r>
    </w:p>
    <w:p>
      <w:pPr>
        <w:spacing w:after="312" w:line="237" w:lineRule="auto"/>
        <w:ind w:left="-5"/>
        <w:jc w:val="left"/>
      </w:pPr>
      <w:r>
        <w:rPr>
          <w:rFonts w:ascii="Tahoma" w:hAnsi="Tahoma" w:eastAsia="Tahoma" w:cs="Tahoma"/>
          <w:b/>
          <w:sz w:val="18"/>
        </w:rPr>
        <w:t xml:space="preserve">ethoxymethoxycyclododecane (boisambrene),   1,1,2,3,3-pentamethyl-2,5,6,7-tetrahydroinden-4-one (cashmeran) </w:t>
      </w:r>
    </w:p>
    <w:p>
      <w:pPr>
        <w:spacing w:after="784"/>
        <w:ind w:left="-5" w:right="67"/>
      </w:pPr>
      <w:r>
        <w:t xml:space="preserve">Non applicable </w:t>
      </w:r>
    </w:p>
    <w:p>
      <w:pPr>
        <w:pStyle w:val="3"/>
        <w:ind w:left="-5"/>
      </w:pPr>
      <w:r>
        <w:t>3: COMPOSITION/INFORMATIONS SUR LES COMPOSANTS</w:t>
      </w:r>
    </w:p>
    <w:p>
      <w:pPr>
        <w:ind w:right="67"/>
      </w:pPr>
      <w:r>
        <w:t>3.1. Substances</w:t>
      </w:r>
    </w:p>
    <w:p>
      <w:pPr>
        <w:spacing w:after="1113"/>
        <w:ind w:left="-5" w:right="67"/>
      </w:pPr>
      <w:r>
        <w:t xml:space="preserve">Produit non concerné par la liste de composants. </w:t>
      </w:r>
    </w:p>
    <w:p>
      <w:pPr>
        <w:ind w:right="67"/>
      </w:pPr>
      <w:r>
        <w:t>3.2. Mélanges</w:t>
      </w:r>
    </w:p>
    <w:tbl>
      <w:tblPr>
        <w:tblStyle w:val="8"/>
        <w:tblW w:w="9596" w:type="dxa"/>
        <w:tblInd w:w="-55" w:type="dxa"/>
        <w:tblLayout w:type="autofit"/>
        <w:tblCellMar>
          <w:top w:w="55" w:type="dxa"/>
          <w:left w:w="54" w:type="dxa"/>
          <w:bottom w:w="0" w:type="dxa"/>
          <w:right w:w="54" w:type="dxa"/>
        </w:tblCellMar>
      </w:tblPr>
      <w:tblGrid>
        <w:gridCol w:w="3511"/>
        <w:gridCol w:w="991"/>
        <w:gridCol w:w="779"/>
        <w:gridCol w:w="2997"/>
        <w:gridCol w:w="1318"/>
      </w:tblGrid>
      <w:tr>
        <w:tblPrEx>
          <w:tblCellMar>
            <w:top w:w="55" w:type="dxa"/>
            <w:left w:w="54" w:type="dxa"/>
            <w:bottom w:w="0" w:type="dxa"/>
            <w:right w:w="54" w:type="dxa"/>
          </w:tblCellMar>
        </w:tblPrEx>
        <w:trPr>
          <w:trHeight w:val="348"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8"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12"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15"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5" w:type="dxa"/>
            <w:left w:w="54" w:type="dxa"/>
            <w:bottom w:w="0" w:type="dxa"/>
            <w:right w:w="54" w:type="dxa"/>
          </w:tblCellMar>
        </w:tblPrEx>
        <w:trPr>
          <w:trHeight w:val="846" w:hRule="atLeast"/>
        </w:trPr>
        <w:tc>
          <w:tcPr>
            <w:tcW w:w="3511"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1" w:firstLine="0"/>
              <w:jc w:val="left"/>
            </w:pPr>
            <w:r>
              <w:rPr>
                <w:sz w:val="16"/>
              </w:rPr>
              <w:t>(4R)-1-methyl-4-prop-1-en-2-ylcyclohexene (dextro-limonene)   (No REACH :</w:t>
            </w:r>
          </w:p>
          <w:p>
            <w:pPr>
              <w:spacing w:after="0" w:line="259" w:lineRule="auto"/>
              <w:ind w:left="1" w:firstLine="0"/>
              <w:jc w:val="left"/>
            </w:pPr>
            <w:r>
              <w:rPr>
                <w:sz w:val="16"/>
              </w:rPr>
              <w:t>01-2119529223-47-XXXX)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5989-27-5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227-813-5</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3, Flam. Liq. 3, Skin</w:t>
            </w:r>
          </w:p>
          <w:p>
            <w:pPr>
              <w:spacing w:after="0" w:line="259" w:lineRule="auto"/>
              <w:ind w:left="0" w:right="9" w:firstLine="0"/>
              <w:jc w:val="left"/>
            </w:pPr>
            <w:r>
              <w:rPr>
                <w:sz w:val="16"/>
              </w:rPr>
              <w:t>Irrit. 2, Skin Sens. 1 - H226, H304, H315, H317, H319, H400, H412</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66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1,1,2,3,3-pentamethyl-2,5,6,7-tetrahydroinden4-one (cashmeran)   (No REACH :</w:t>
            </w:r>
          </w:p>
          <w:p>
            <w:pPr>
              <w:spacing w:after="0" w:line="259" w:lineRule="auto"/>
              <w:ind w:left="1" w:firstLine="0"/>
              <w:jc w:val="left"/>
            </w:pPr>
            <w:r>
              <w:rPr>
                <w:sz w:val="16"/>
              </w:rPr>
              <w:t>01-2119977131-40-0000)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33704-61-9</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251-649-3</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Aquatic Chronic 2, Skin Irrit.</w:t>
            </w:r>
          </w:p>
          <w:p>
            <w:pPr>
              <w:spacing w:after="0" w:line="259" w:lineRule="auto"/>
              <w:ind w:left="0" w:firstLine="0"/>
              <w:jc w:val="left"/>
            </w:pPr>
            <w:r>
              <w:rPr>
                <w:sz w:val="16"/>
              </w:rPr>
              <w:t>2, Skin Sens. 1B - H315, H317, H319,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664"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pPr>
            <w:r>
              <w:rPr>
                <w:sz w:val="16"/>
              </w:rPr>
              <w:t>1,3,4,6,7,8-hexahydro-4,6,6,7,8,8-hexamethylcy clopenta(g)-2-benzopyran (galaxolide)   (No REACH : 01-2119488227-29-0000)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1222-05-5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214-946-9</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benzyl 2-hydroxybenzoate (benzyl salicylate) (No REACH : 01-2119969442-31-XXXX)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118-58-1</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204-262-9</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Aquatic Chronic 3, Skin Sens. 1B - H317, H319, H412</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668" w:hRule="atLeast"/>
        </w:trPr>
        <w:tc>
          <w:tcPr>
            <w:tcW w:w="3511" w:type="dxa"/>
            <w:tcBorders>
              <w:top w:val="double" w:color="C0C0C0" w:sz="2" w:space="0"/>
              <w:left w:val="single" w:color="C0C0C0" w:sz="2" w:space="0"/>
              <w:bottom w:val="double" w:color="C0C0C0" w:sz="2" w:space="0"/>
              <w:right w:val="single" w:color="C0C0C0" w:sz="4" w:space="0"/>
            </w:tcBorders>
            <w:vAlign w:val="center"/>
          </w:tcPr>
          <w:p>
            <w:pPr>
              <w:spacing w:after="0" w:line="259" w:lineRule="auto"/>
              <w:ind w:left="1" w:firstLine="0"/>
              <w:jc w:val="left"/>
            </w:pPr>
            <w:r>
              <w:rPr>
                <w:sz w:val="16"/>
              </w:rPr>
              <w:t>ethoxymethoxycyclododecane (boisambrene) (No REACH : 01-2119971571-34-0000)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58567-11-6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261-332-1</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Aquatic Chronic 2, Skin Irrit.</w:t>
            </w:r>
          </w:p>
          <w:p>
            <w:pPr>
              <w:spacing w:after="0" w:line="259" w:lineRule="auto"/>
              <w:ind w:left="0" w:firstLine="0"/>
              <w:jc w:val="left"/>
            </w:pPr>
            <w:r>
              <w:rPr>
                <w:sz w:val="16"/>
              </w:rPr>
              <w:t>2, Skin Sens. 1B - H315, H317, H319,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66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ethyl 3-methyl-3-phenyloxirane-2-carboxylate (aldehyde C-16)   (No REACH :</w:t>
            </w:r>
          </w:p>
          <w:p>
            <w:pPr>
              <w:spacing w:after="0" w:line="259" w:lineRule="auto"/>
              <w:ind w:left="1" w:firstLine="0"/>
              <w:jc w:val="left"/>
            </w:pPr>
            <w:r>
              <w:rPr>
                <w:sz w:val="16"/>
              </w:rPr>
              <w:t>01-2119967770-28-XXXX)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77-83-8</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201-061-8</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Chronic 2, Skin Sens. 1B H317,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5" w:type="dxa"/>
            <w:left w:w="54" w:type="dxa"/>
            <w:bottom w:w="0" w:type="dxa"/>
            <w:right w:w="54" w:type="dxa"/>
          </w:tblCellMar>
        </w:tblPrEx>
        <w:trPr>
          <w:trHeight w:val="101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reaction mass of 1-(1,2,3,4,5,6,7,8 and</w:t>
            </w:r>
          </w:p>
          <w:p>
            <w:pPr>
              <w:spacing w:after="0" w:line="259" w:lineRule="auto"/>
              <w:ind w:left="1" w:firstLine="0"/>
              <w:jc w:val="left"/>
            </w:pPr>
            <w:r>
              <w:rPr>
                <w:sz w:val="16"/>
              </w:rPr>
              <w:t>1-(1,2,3,4,6,7,8,8a and</w:t>
            </w:r>
          </w:p>
          <w:p>
            <w:pPr>
              <w:spacing w:after="0" w:line="259" w:lineRule="auto"/>
              <w:ind w:left="1" w:firstLine="0"/>
              <w:jc w:val="left"/>
            </w:pPr>
            <w:r>
              <w:rPr>
                <w:sz w:val="16"/>
              </w:rPr>
              <w:t>1-(1,2,3,5,6,7,8,8a-octahydro-2,3,8,8-tetrameth</w:t>
            </w:r>
          </w:p>
          <w:p>
            <w:pPr>
              <w:spacing w:after="0" w:line="259" w:lineRule="auto"/>
              <w:ind w:left="1" w:firstLine="0"/>
              <w:jc w:val="left"/>
            </w:pPr>
            <w:r>
              <w:rPr>
                <w:sz w:val="16"/>
              </w:rPr>
              <w:t>yl-2-naphthyl)ethan-1-one (iso e super)   (No</w:t>
            </w:r>
          </w:p>
          <w:p>
            <w:pPr>
              <w:spacing w:after="0" w:line="259" w:lineRule="auto"/>
              <w:ind w:left="1" w:firstLine="0"/>
              <w:jc w:val="left"/>
            </w:pPr>
            <w:r>
              <w:rPr>
                <w:sz w:val="16"/>
              </w:rPr>
              <w:t>REACH : 01-2119489989-04-XXXX)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88" w:firstLine="0"/>
              <w:jc w:val="left"/>
            </w:pPr>
            <w:r>
              <w:rPr>
                <w:sz w:val="14"/>
              </w:rPr>
              <w:t>54464-57-2</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915-730-3</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Eye Irrit. 2, Aquatic Chronic 1, Skin Sens. 1B - H317, H319,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4" w:firstLine="0"/>
              <w:jc w:val="center"/>
            </w:pPr>
            <w:r>
              <w:rPr>
                <w:sz w:val="16"/>
              </w:rPr>
              <w:t>[ 0-5 ]</w:t>
            </w:r>
          </w:p>
        </w:tc>
      </w:tr>
    </w:tbl>
    <w:p>
      <w:pPr>
        <w:spacing w:after="957"/>
        <w:ind w:left="-5" w:right="67"/>
      </w:pPr>
      <w:r>
        <w:t>COMPOSITION : Mélange de matiéres premières aromatiques.</w:t>
      </w:r>
    </w:p>
    <w:p>
      <w:pPr>
        <w:pStyle w:val="3"/>
        <w:ind w:left="-5"/>
      </w:pPr>
      <w:r>
        <w:t>4: PREMIERS SECOURS</w:t>
      </w:r>
    </w:p>
    <w:p>
      <w:pPr>
        <w:spacing w:after="153"/>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2"/>
        <w:ind w:left="-5" w:right="67"/>
      </w:pPr>
      <w:r>
        <w:t>Secouriste: faire attention à se protéger!</w:t>
      </w:r>
    </w:p>
    <w:p>
      <w:pPr>
        <w:spacing w:after="763" w:line="427" w:lineRule="auto"/>
        <w:ind w:left="-15" w:right="3754" w:firstLine="737"/>
      </w:pPr>
      <w:r>
        <w:t>4.2. Principaux symptômes et effets, aigus et différés Tenir compte des phrases de risques et de sécurité.</w:t>
      </w:r>
    </w:p>
    <w:p>
      <w:pPr>
        <w:spacing w:after="153"/>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spacing w:after="156"/>
        <w:ind w:right="67"/>
      </w:pPr>
      <w:r>
        <w:t>5.1. Moyens d’extinction</w:t>
      </w:r>
    </w:p>
    <w:p>
      <w:pPr>
        <w:ind w:left="-5" w:right="67"/>
      </w:pPr>
      <w:r>
        <w:t>Moyens d'extinction appropriés: dioxyde de carbone (CO2), mousse, eau pulvérisée, poudre d'extinction sèche.</w:t>
      </w:r>
    </w:p>
    <w:p>
      <w:pPr>
        <w:spacing w:after="895"/>
        <w:ind w:left="-5" w:right="67"/>
      </w:pPr>
      <w:r>
        <w:t>Méthodes d'extinction inappropriées: jet d'eau puissant.</w:t>
      </w:r>
    </w:p>
    <w:p>
      <w:pPr>
        <w:spacing w:after="156"/>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2"/>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3"/>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spacing w:after="922"/>
        <w:ind w:left="-5" w:right="67"/>
      </w:pPr>
      <w:r>
        <w:t>Mettre les personnes en sécurité. Isoler la zone de danger et empêcher l'accès. Aérer les espaces fermés avant d'entrer. Utiliser un équipement de protection individuel, voir section 8.</w:t>
      </w:r>
    </w:p>
    <w:p>
      <w:pPr>
        <w:spacing w:after="156"/>
        <w:ind w:right="67"/>
      </w:pPr>
      <w:r>
        <w:t>6.2. Précautions pour la protection de l’environnement</w:t>
      </w:r>
    </w:p>
    <w:p>
      <w:pPr>
        <w:spacing w:after="1100"/>
        <w:ind w:left="-5" w:right="67"/>
      </w:pPr>
      <w:r>
        <w:t>Assurez-vous que les déversements peuvent être contenus, par exemple dans des puisards palette ou des zones de rétention. Ne pas laisser pénétrer dans les eaux de surface ou les égouts.</w:t>
      </w:r>
    </w:p>
    <w:p>
      <w:pPr>
        <w:spacing w:after="153"/>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2"/>
        <w:ind w:left="-5" w:right="6763"/>
      </w:pPr>
      <w:r>
        <w:t>6.3.3. Autre information: Aucune.</w:t>
      </w:r>
    </w:p>
    <w:p>
      <w:pPr>
        <w:spacing w:after="156"/>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3"/>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spacing w:after="882"/>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922"/>
        <w:ind w:left="-5" w:right="3656"/>
      </w:pPr>
      <w:r>
        <w:t>Information supplémentaire sur les conditions de stockage: Protéger les récipients contre les dommages.</w:t>
      </w:r>
    </w:p>
    <w:p>
      <w:pPr>
        <w:spacing w:after="153"/>
        <w:ind w:right="67"/>
      </w:pPr>
      <w:r>
        <w:t>7.3. Utilisation(s) finale(s) particulière(s)</w:t>
      </w:r>
    </w:p>
    <w:p>
      <w:pPr>
        <w:spacing w:after="763"/>
        <w:ind w:left="-5" w:right="67"/>
      </w:pPr>
      <w:r>
        <w:t>Recommandations: respecter les instructions d'utilisation.</w:t>
      </w:r>
    </w:p>
    <w:p>
      <w:pPr>
        <w:pStyle w:val="3"/>
        <w:spacing w:after="122"/>
        <w:ind w:left="-5"/>
      </w:pPr>
      <w:r>
        <w:t>8: CONTROLES DE L'EXPOSITION/PROTECTION INDIVIDUELLE</w:t>
      </w:r>
    </w:p>
    <w:p>
      <w:pPr>
        <w:spacing w:after="715"/>
        <w:ind w:left="-5"/>
        <w:jc w:val="left"/>
      </w:pPr>
      <w:r>
        <w:rPr>
          <w:sz w:val="18"/>
        </w:rPr>
        <w:t>Des examens de médecine préventive du travail sont à effectuer.</w:t>
      </w:r>
    </w:p>
    <w:p>
      <w:pPr>
        <w:spacing w:after="542"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2840"/>
        </w:tabs>
        <w:ind w:left="-15" w:firstLine="0"/>
        <w:jc w:val="left"/>
      </w:pPr>
      <w:r>
        <w:rPr>
          <w:sz w:val="18"/>
        </w:rPr>
        <w:t>-Protection des mains :</w:t>
      </w:r>
      <w:r>
        <w:rPr>
          <w:sz w:val="18"/>
        </w:rPr>
        <w:tab/>
      </w:r>
      <w:r>
        <w:rPr>
          <w:sz w:val="18"/>
        </w:rPr>
        <w:t>porter des gants.</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650"/>
        <w:ind w:left="-5" w:right="2006"/>
        <w:jc w:val="left"/>
      </w:pPr>
      <w:r>
        <w:rPr>
          <w:sz w:val="18"/>
        </w:rPr>
        <w:t>Mesures organisationnelles visant à prévenir l'exposition: pas de mesures spécifiques. Mesures techniques visant à prévenir l'exposition: pas de mesures spécifiques.</w:t>
      </w:r>
    </w:p>
    <w:p>
      <w:pPr>
        <w:spacing w:after="131" w:line="259" w:lineRule="auto"/>
        <w:ind w:left="828" w:firstLine="0"/>
        <w:jc w:val="left"/>
      </w:pPr>
      <w:r>
        <w:drawing>
          <wp:inline distT="0" distB="0" distL="0" distR="0">
            <wp:extent cx="601980" cy="601980"/>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r:embed="rId19"/>
                    <a:stretch>
                      <a:fillRect/>
                    </a:stretch>
                  </pic:blipFill>
                  <pic:spPr>
                    <a:xfrm>
                      <a:off x="0" y="0"/>
                      <a:ext cx="601980" cy="601980"/>
                    </a:xfrm>
                    <a:prstGeom prst="rect">
                      <a:avLst/>
                    </a:prstGeom>
                  </pic:spPr>
                </pic:pic>
              </a:graphicData>
            </a:graphic>
          </wp:inline>
        </w:drawing>
      </w:r>
    </w:p>
    <w:p>
      <w:pPr>
        <w:pStyle w:val="3"/>
        <w:ind w:left="-5"/>
      </w:pPr>
      <w:r>
        <w:t>9: PROPRIETES PHYSIQUES ET CHIMIQUES</w:t>
      </w:r>
    </w:p>
    <w:p>
      <w:pPr>
        <w:ind w:right="67"/>
      </w:pPr>
      <w:r>
        <w:t>9.1. Informations sur les propriétés physiques et chimiques essentielles</w:t>
      </w:r>
    </w:p>
    <w:tbl>
      <w:tblPr>
        <w:tblStyle w:val="8"/>
        <w:tblW w:w="9168" w:type="dxa"/>
        <w:tblInd w:w="0" w:type="dxa"/>
        <w:tblLayout w:type="autofit"/>
        <w:tblCellMar>
          <w:top w:w="0" w:type="dxa"/>
          <w:left w:w="0" w:type="dxa"/>
          <w:bottom w:w="0" w:type="dxa"/>
          <w:right w:w="0" w:type="dxa"/>
        </w:tblCellMar>
      </w:tblPr>
      <w:tblGrid>
        <w:gridCol w:w="3096"/>
        <w:gridCol w:w="6072"/>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69"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1272" w:hRule="atLeast"/>
        </w:trPr>
        <w:tc>
          <w:tcPr>
            <w:tcW w:w="3096" w:type="dxa"/>
            <w:tcBorders>
              <w:top w:val="nil"/>
              <w:left w:val="nil"/>
              <w:bottom w:val="nil"/>
              <w:right w:val="nil"/>
            </w:tcBorders>
          </w:tcPr>
          <w:p>
            <w:pPr>
              <w:spacing w:after="292" w:line="259" w:lineRule="auto"/>
              <w:ind w:left="0" w:firstLine="0"/>
              <w:jc w:val="left"/>
            </w:pPr>
            <w:r>
              <w:rPr>
                <w:rFonts w:ascii="Tahoma" w:hAnsi="Tahoma" w:eastAsia="Tahoma" w:cs="Tahoma"/>
                <w:sz w:val="18"/>
              </w:rPr>
              <w:t>Caractéristiques des particules :</w:t>
            </w:r>
          </w:p>
          <w:p>
            <w:pPr>
              <w:spacing w:after="161" w:line="259" w:lineRule="auto"/>
              <w:ind w:left="737" w:firstLine="0"/>
              <w:jc w:val="left"/>
            </w:pPr>
            <w:r>
              <w:t>9.2. Autres informations</w:t>
            </w:r>
          </w:p>
          <w:p>
            <w:pPr>
              <w:spacing w:after="0" w:line="259" w:lineRule="auto"/>
              <w:ind w:left="0" w:firstLine="0"/>
              <w:jc w:val="left"/>
            </w:pPr>
            <w:r>
              <w:rPr>
                <w:rFonts w:ascii="Tahoma" w:hAnsi="Tahoma" w:eastAsia="Tahoma" w:cs="Tahoma"/>
                <w:sz w:val="18"/>
              </w:rPr>
              <w:t>Indice de réfraction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r>
      <w:tr>
        <w:tblPrEx>
          <w:tblCellMar>
            <w:top w:w="0" w:type="dxa"/>
            <w:left w:w="0" w:type="dxa"/>
            <w:bottom w:w="0" w:type="dxa"/>
            <w:right w:w="0" w:type="dxa"/>
          </w:tblCellMar>
        </w:tblPrEx>
        <w:trPr>
          <w:trHeight w:val="27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Conditions de stockage :</w:t>
            </w:r>
          </w:p>
        </w:tc>
        <w:tc>
          <w:tcPr>
            <w:tcW w:w="6072" w:type="dxa"/>
            <w:tcBorders>
              <w:top w:val="nil"/>
              <w:left w:val="nil"/>
              <w:bottom w:val="nil"/>
              <w:right w:val="nil"/>
            </w:tcBorders>
          </w:tcPr>
          <w:p>
            <w:pPr>
              <w:spacing w:after="0" w:line="259" w:lineRule="auto"/>
              <w:ind w:left="0" w:firstLine="0"/>
            </w:pPr>
            <w:r>
              <w:rPr>
                <w:rFonts w:ascii="Tahoma" w:hAnsi="Tahoma" w:eastAsia="Tahoma" w:cs="Tahoma"/>
                <w:b/>
                <w:sz w:val="18"/>
              </w:rPr>
              <w:t xml:space="preserve">24 mois à faible température entre 15°C et 20°C dans un récipient </w:t>
            </w:r>
          </w:p>
        </w:tc>
      </w:tr>
    </w:tbl>
    <w:p>
      <w:pPr>
        <w:spacing w:after="150" w:line="259" w:lineRule="auto"/>
        <w:ind w:left="884" w:firstLine="0"/>
        <w:jc w:val="center"/>
      </w:pPr>
      <w:r>
        <w:rPr>
          <w:rFonts w:ascii="Tahoma" w:hAnsi="Tahoma" w:eastAsia="Tahoma" w:cs="Tahoma"/>
          <w:b/>
          <w:sz w:val="18"/>
        </w:rPr>
        <w:t>fermé hermétiquement et à l'abri de la lumière.</w:t>
      </w:r>
    </w:p>
    <w:p>
      <w:pPr>
        <w:pStyle w:val="3"/>
        <w:ind w:left="-5"/>
      </w:pPr>
      <w:r>
        <w:t>10: STABILITE ET REACTIVITE</w:t>
      </w:r>
    </w:p>
    <w:p>
      <w:pPr>
        <w:spacing w:after="153"/>
        <w:ind w:right="67"/>
      </w:pPr>
      <w:r>
        <w:t>10.1. Réactivité</w:t>
      </w:r>
    </w:p>
    <w:p>
      <w:pPr>
        <w:spacing w:after="676"/>
        <w:ind w:left="-5" w:right="67"/>
      </w:pPr>
      <w:r>
        <w:t>Aucune donnée d'essai spécifique disponible relative à la réactivité de ce produit ou de ses ingrédients.</w:t>
      </w:r>
    </w:p>
    <w:p>
      <w:pPr>
        <w:spacing w:after="156"/>
        <w:ind w:right="67"/>
      </w:pPr>
      <w:r>
        <w:t>10.2. Stabilité chimique</w:t>
      </w:r>
    </w:p>
    <w:p>
      <w:pPr>
        <w:spacing w:after="702"/>
        <w:ind w:left="-5" w:right="67"/>
      </w:pPr>
      <w:r>
        <w:t>La substance est chimiquement stable dans les conditions recommandées de stockage, d'utilisation et de température.</w:t>
      </w:r>
    </w:p>
    <w:p>
      <w:pPr>
        <w:spacing w:after="156"/>
        <w:ind w:right="67"/>
      </w:pPr>
      <w:r>
        <w:t>10.3. Possibilité de réactions dangereuses</w:t>
      </w:r>
    </w:p>
    <w:p>
      <w:pPr>
        <w:spacing w:after="677"/>
        <w:ind w:left="-5" w:right="939"/>
      </w:pPr>
      <w:r>
        <w:t>Aucune réaction dangereuse lorsqu'il est manipulé et stocké conformément aux dispositions. Eviter le contact avec les acides, les bases et les agents oxydants.</w:t>
      </w:r>
    </w:p>
    <w:p>
      <w:pPr>
        <w:spacing w:after="156"/>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1"/>
        <w:ind w:left="-5" w:right="5068"/>
      </w:pPr>
      <w:r>
        <w:t>Eviter le contact avec des agents oxydants. Sources directes de chaleur.</w:t>
      </w:r>
    </w:p>
    <w:p>
      <w:pPr>
        <w:spacing w:after="542" w:line="427" w:lineRule="auto"/>
        <w:ind w:left="-15" w:right="5753" w:firstLine="737"/>
      </w:pPr>
      <w:r>
        <w:t>10.5. Matières incompatibles Acides - Bases - Agents oxydants.</w:t>
      </w:r>
    </w:p>
    <w:p>
      <w:pPr>
        <w:spacing w:after="153"/>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right="67"/>
      </w:pPr>
      <w:r>
        <w:t>ETAmélange (oral) = Non déterminée (mg/kg)</w:t>
      </w:r>
    </w:p>
    <w:p>
      <w:pPr>
        <w:ind w:left="-5" w:right="67"/>
      </w:pPr>
      <w:r>
        <w:t>ETAmélange (dermique) = Non déterminée (mg/kg)</w:t>
      </w:r>
    </w:p>
    <w:p>
      <w:pPr>
        <w:ind w:left="-5" w:right="67"/>
      </w:pPr>
      <w:r>
        <w:t>ETAmélange (inhal.) = Non déterminée (mg/l/4 h)</w:t>
      </w:r>
    </w:p>
    <w:p>
      <w:pPr>
        <w:numPr>
          <w:ilvl w:val="0"/>
          <w:numId w:val="2"/>
        </w:numPr>
        <w:spacing w:after="193"/>
        <w:ind w:right="5742"/>
      </w:pPr>
      <w:r>
        <w:t>corrosion cutanée/irritation cutanéevoir section 2</w:t>
      </w:r>
    </w:p>
    <w:p>
      <w:pPr>
        <w:numPr>
          <w:ilvl w:val="0"/>
          <w:numId w:val="2"/>
        </w:numPr>
        <w:spacing w:after="193"/>
        <w:ind w:right="5742"/>
      </w:pPr>
      <w:r>
        <w:t>lésions oculaires graves/irritation oculairevoir section 2</w:t>
      </w:r>
    </w:p>
    <w:p>
      <w:pPr>
        <w:numPr>
          <w:ilvl w:val="0"/>
          <w:numId w:val="2"/>
        </w:numPr>
        <w:spacing w:after="193"/>
        <w:ind w:right="5742"/>
      </w:pPr>
      <w:r>
        <w:t>sensibilisation respiratoire ou cutanéevoir section 2</w:t>
      </w:r>
    </w:p>
    <w:p>
      <w:pPr>
        <w:numPr>
          <w:ilvl w:val="0"/>
          <w:numId w:val="2"/>
        </w:numPr>
        <w:spacing w:after="193"/>
        <w:ind w:right="5742"/>
      </w:pPr>
      <w:r>
        <w:t>mutagénicité sur les cellules germinalesvoir section 2</w:t>
      </w:r>
    </w:p>
    <w:p>
      <w:pPr>
        <w:numPr>
          <w:ilvl w:val="0"/>
          <w:numId w:val="2"/>
        </w:numPr>
        <w:spacing w:after="193"/>
        <w:ind w:right="5742"/>
      </w:pPr>
      <w:r>
        <w:t>cancérogénicitévoir section 2</w:t>
      </w:r>
    </w:p>
    <w:p>
      <w:pPr>
        <w:numPr>
          <w:ilvl w:val="0"/>
          <w:numId w:val="2"/>
        </w:numPr>
        <w:spacing w:after="193"/>
        <w:ind w:right="5742"/>
      </w:pPr>
      <w:r>
        <w:t>toxicité pour la reproductionvoir section 2</w:t>
      </w:r>
    </w:p>
    <w:p>
      <w:pPr>
        <w:numPr>
          <w:ilvl w:val="0"/>
          <w:numId w:val="2"/>
        </w:numPr>
        <w:spacing w:after="193"/>
        <w:ind w:right="5742"/>
      </w:pPr>
      <w:r>
        <w:t>toxicité spécifique pour certains organes cibles (STOT) - exposition uniquevoir section 2</w:t>
      </w:r>
    </w:p>
    <w:p>
      <w:pPr>
        <w:numPr>
          <w:ilvl w:val="0"/>
          <w:numId w:val="2"/>
        </w:numPr>
        <w:spacing w:after="193"/>
        <w:ind w:right="5742"/>
      </w:pPr>
      <w:r>
        <w:t>toxicité spécifique pour certains organes cibles (STOT) - exposition répétéevoir section 2</w:t>
      </w:r>
    </w:p>
    <w:p>
      <w:pPr>
        <w:numPr>
          <w:ilvl w:val="0"/>
          <w:numId w:val="2"/>
        </w:numPr>
        <w:spacing w:after="1136"/>
        <w:ind w:right="5742"/>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6"/>
        <w:ind w:right="67"/>
      </w:pPr>
      <w:r>
        <w:t>12.1. Toxicité</w:t>
      </w:r>
    </w:p>
    <w:p>
      <w:pPr>
        <w:spacing w:after="702"/>
        <w:ind w:left="-5" w:right="67"/>
      </w:pPr>
      <w:r>
        <w:t>Ne pas laisser le produit, non dilué ou en grande quantité, pénétrer la nappe phréatique, les eaux superficielles ou les égouts.</w:t>
      </w:r>
    </w:p>
    <w:p>
      <w:pPr>
        <w:spacing w:after="540" w:line="427" w:lineRule="auto"/>
        <w:ind w:left="-15" w:right="5591" w:firstLine="737"/>
      </w:pPr>
      <w:r>
        <w:t>12.2. Persistance et dégradabilité Pas de données à ce jour.</w:t>
      </w:r>
    </w:p>
    <w:p>
      <w:pPr>
        <w:spacing w:line="427" w:lineRule="auto"/>
        <w:ind w:left="-15" w:right="5502" w:firstLine="737"/>
      </w:pPr>
      <w:r>
        <w:t>12.3. Potentiel de bioaccumulation Pas de données à ce jour.</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1319" w:left="1190" w:header="720" w:footer="878"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8" w:type="dxa"/>
            <w:left w:w="0" w:type="dxa"/>
            <w:bottom w:w="0" w:type="dxa"/>
            <w:right w:w="53" w:type="dxa"/>
          </w:tblCellMar>
        </w:tblPrEx>
        <w:trPr>
          <w:trHeight w:val="6628"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932" w:line="259" w:lineRule="auto"/>
              <w:ind w:left="0" w:firstLine="0"/>
              <w:jc w:val="left"/>
            </w:pPr>
            <w:r>
              <w:rPr>
                <w:sz w:val="16"/>
              </w:rPr>
              <w:t>Édité le :</w:t>
            </w:r>
            <w:r>
              <w:rPr>
                <w:sz w:val="16"/>
              </w:rPr>
              <w:tab/>
            </w:r>
            <w:r>
              <w:rPr>
                <w:sz w:val="16"/>
              </w:rPr>
              <w:t>09/02/2022</w:t>
            </w:r>
            <w:r>
              <w:rPr>
                <w:sz w:val="16"/>
              </w:rPr>
              <w:tab/>
            </w:r>
            <w:r>
              <w:rPr>
                <w:sz w:val="16"/>
              </w:rPr>
              <w:t>Diamant 10%</w:t>
            </w:r>
          </w:p>
          <w:p>
            <w:pPr>
              <w:spacing w:after="542" w:line="427" w:lineRule="auto"/>
              <w:ind w:left="56" w:right="3243" w:firstLine="737"/>
              <w:jc w:val="left"/>
            </w:pPr>
            <w:r>
              <w:t>12.4. Mobilité dans le sol Pas de données à ce jour.</w:t>
            </w:r>
          </w:p>
          <w:p>
            <w:pPr>
              <w:spacing w:after="545" w:line="425" w:lineRule="auto"/>
              <w:ind w:left="56" w:right="1486" w:firstLine="737"/>
              <w:jc w:val="left"/>
            </w:pPr>
            <w:r>
              <w:t>12.5. Résultats des évaluations PBT et vPvB Pas de données à ce jour.</w:t>
            </w:r>
          </w:p>
          <w:p>
            <w:pPr>
              <w:spacing w:after="542"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09/02/2022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64"/>
        <w:ind w:left="-5" w:right="67"/>
      </w:pPr>
      <w:r>
        <w:t>Manipuler les emballages contaminés de la même manière que la substance elle-même.</w:t>
      </w:r>
    </w:p>
    <w:p>
      <w:pPr>
        <w:pStyle w:val="3"/>
        <w:spacing w:after="119"/>
        <w:ind w:left="-5"/>
      </w:pPr>
      <w:r>
        <w:t>14: INFORMATIONS RELATIVES AU TRANSPORT</w:t>
      </w:r>
    </w:p>
    <w:p>
      <w:pPr>
        <w:spacing w:after="81"/>
        <w:ind w:left="-5"/>
        <w:jc w:val="left"/>
      </w:pPr>
      <w:r>
        <w:rPr>
          <w:sz w:val="18"/>
        </w:rPr>
        <w:t>IATA:</w:t>
      </w:r>
    </w:p>
    <w:p>
      <w:pPr>
        <w:spacing w:after="0" w:line="259" w:lineRule="auto"/>
        <w:ind w:left="828" w:firstLine="0"/>
        <w:jc w:val="left"/>
      </w:pPr>
      <w:r>
        <w:drawing>
          <wp:inline distT="0" distB="0" distL="0" distR="0">
            <wp:extent cx="601980" cy="601980"/>
            <wp:effectExtent l="0" t="0" r="0" b="0"/>
            <wp:docPr id="880" name="Picture 880"/>
            <wp:cNvGraphicFramePr/>
            <a:graphic xmlns:a="http://schemas.openxmlformats.org/drawingml/2006/main">
              <a:graphicData uri="http://schemas.openxmlformats.org/drawingml/2006/picture">
                <pic:pic xmlns:pic="http://schemas.openxmlformats.org/drawingml/2006/picture">
                  <pic:nvPicPr>
                    <pic:cNvPr id="880" name="Picture 880"/>
                    <pic:cNvPicPr/>
                  </pic:nvPicPr>
                  <pic:blipFill>
                    <a:blip r:embed="rId20"/>
                    <a:stretch>
                      <a:fillRect/>
                    </a:stretch>
                  </pic:blipFill>
                  <pic:spPr>
                    <a:xfrm>
                      <a:off x="0" y="0"/>
                      <a:ext cx="601980" cy="601980"/>
                    </a:xfrm>
                    <a:prstGeom prst="rect">
                      <a:avLst/>
                    </a:prstGeom>
                  </pic:spPr>
                </pic:pic>
              </a:graphicData>
            </a:graphic>
          </wp:inline>
        </w:drawing>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699"/>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8" w:line="251" w:lineRule="auto"/>
        <w:ind w:left="-5" w:right="125"/>
        <w:jc w:val="left"/>
      </w:pPr>
      <w:r>
        <w:rPr>
          <w:rFonts w:ascii="Microsoft Sans Serif" w:hAnsi="Microsoft Sans Serif" w:eastAsia="Microsoft Sans Serif" w:cs="Microsoft Sans Serif"/>
          <w:sz w:val="17"/>
        </w:rPr>
        <w:t>ADR : NON REGLEMENTE</w:t>
      </w:r>
    </w:p>
    <w:p>
      <w:pPr>
        <w:spacing w:after="8" w:line="251" w:lineRule="auto"/>
        <w:ind w:left="-5" w:right="125"/>
        <w:jc w:val="left"/>
      </w:pPr>
      <w:r>
        <w:rPr>
          <w:rFonts w:ascii="Microsoft Sans Serif" w:hAnsi="Microsoft Sans Serif" w:eastAsia="Microsoft Sans Serif" w:cs="Microsoft Sans Serif"/>
          <w:sz w:val="17"/>
        </w:rPr>
        <w:t>IMDG:NON REGLEMENTE</w:t>
      </w:r>
    </w:p>
    <w:p>
      <w:pPr>
        <w:spacing w:after="131" w:line="251" w:lineRule="auto"/>
        <w:ind w:left="-5" w:right="125"/>
        <w:jc w:val="left"/>
      </w:pPr>
      <w:r>
        <w:rPr>
          <w:rFonts w:ascii="Microsoft Sans Serif" w:hAnsi="Microsoft Sans Serif" w:eastAsia="Microsoft Sans Serif" w:cs="Microsoft Sans Serif"/>
          <w:sz w:val="17"/>
        </w:rPr>
        <w:t>IATA :3334</w:t>
      </w:r>
    </w:p>
    <w:p>
      <w:pPr>
        <w:ind w:left="-5" w:right="67"/>
      </w:pPr>
      <w:r>
        <w:t>NON REGLEMENTE</w:t>
      </w:r>
    </w:p>
    <w:p>
      <w:pPr>
        <w:ind w:left="-5" w:right="67"/>
      </w:pPr>
      <w:r>
        <w:t>NON REGLEMENTE</w:t>
      </w:r>
    </w:p>
    <w:p>
      <w:pPr>
        <w:ind w:left="-5" w:right="67"/>
      </w:pPr>
      <w:r>
        <w:t>3334 MATIERE LIQUIDE REGLEMENTEE POUR LE TRANSPORT AERIEN N.S.A. ((4R)-1-methyl-4-prop-</w:t>
      </w:r>
    </w:p>
    <w:p>
      <w:pPr>
        <w:spacing w:after="681"/>
        <w:ind w:left="-5" w:right="67"/>
      </w:pPr>
      <w:r>
        <w:t>1-en-2-ylcyclohexene (dextro-limonene)), 9, III</w:t>
      </w:r>
    </w:p>
    <w:p>
      <w:pPr>
        <w:spacing w:after="134"/>
        <w:ind w:right="67"/>
      </w:pPr>
      <w:r>
        <w:t>14.2. Désignation officielle de transport de l'ONU</w:t>
      </w:r>
    </w:p>
    <w:p>
      <w:pPr>
        <w:spacing w:after="8" w:line="251" w:lineRule="auto"/>
        <w:ind w:left="-5" w:right="125"/>
        <w:jc w:val="left"/>
      </w:pPr>
      <w:r>
        <w:rPr>
          <w:rFonts w:ascii="Microsoft Sans Serif" w:hAnsi="Microsoft Sans Serif" w:eastAsia="Microsoft Sans Serif" w:cs="Microsoft Sans Serif"/>
          <w:sz w:val="17"/>
        </w:rPr>
        <w:t>ADR : NON REGLEMENTE</w:t>
      </w:r>
    </w:p>
    <w:p>
      <w:pPr>
        <w:spacing w:after="8" w:line="251" w:lineRule="auto"/>
        <w:ind w:left="-5" w:right="125"/>
        <w:jc w:val="left"/>
      </w:pPr>
      <w:r>
        <w:rPr>
          <w:rFonts w:ascii="Microsoft Sans Serif" w:hAnsi="Microsoft Sans Serif" w:eastAsia="Microsoft Sans Serif" w:cs="Microsoft Sans Serif"/>
          <w:sz w:val="17"/>
        </w:rPr>
        <w:t>IMDG:NON REGLEMENTE</w:t>
      </w:r>
    </w:p>
    <w:p>
      <w:pPr>
        <w:spacing w:after="327" w:line="251" w:lineRule="auto"/>
        <w:ind w:left="-5" w:right="125"/>
        <w:jc w:val="left"/>
      </w:pPr>
      <w:r>
        <w:rPr>
          <w:rFonts w:ascii="Microsoft Sans Serif" w:hAnsi="Microsoft Sans Serif" w:eastAsia="Microsoft Sans Serif" w:cs="Microsoft Sans Serif"/>
          <w:sz w:val="17"/>
        </w:rPr>
        <w:t>IATA :MATIERE LIQUIDE REGLEMENTEE POUR LE TRANSPORT AERIEN N.S.A. ((4R)-1-methyl-4-prop-1-en-2ylcyclohexene (dextro-limonene))</w:t>
      </w:r>
    </w:p>
    <w:p>
      <w:pPr>
        <w:spacing w:after="136"/>
        <w:ind w:right="67"/>
      </w:pPr>
      <w:r>
        <w:t>14.3. Classe(s) de danger pour le transport</w:t>
      </w:r>
    </w:p>
    <w:p>
      <w:pPr>
        <w:spacing w:after="8" w:line="251" w:lineRule="auto"/>
        <w:ind w:left="-5" w:right="125"/>
        <w:jc w:val="left"/>
      </w:pPr>
      <w:r>
        <w:rPr>
          <w:rFonts w:ascii="Microsoft Sans Serif" w:hAnsi="Microsoft Sans Serif" w:eastAsia="Microsoft Sans Serif" w:cs="Microsoft Sans Serif"/>
          <w:sz w:val="17"/>
        </w:rPr>
        <w:t>ADR : NON REGLEMENTE</w:t>
      </w:r>
    </w:p>
    <w:p>
      <w:pPr>
        <w:spacing w:after="8" w:line="251" w:lineRule="auto"/>
        <w:ind w:left="-5" w:right="125"/>
        <w:jc w:val="left"/>
      </w:pPr>
      <w:r>
        <w:rPr>
          <w:rFonts w:ascii="Microsoft Sans Serif" w:hAnsi="Microsoft Sans Serif" w:eastAsia="Microsoft Sans Serif" w:cs="Microsoft Sans Serif"/>
          <w:sz w:val="17"/>
        </w:rPr>
        <w:t>IMDG:NON REGLEMENTE</w:t>
      </w:r>
    </w:p>
    <w:p>
      <w:pPr>
        <w:spacing w:after="326" w:line="251" w:lineRule="auto"/>
        <w:ind w:left="-5" w:right="125"/>
        <w:jc w:val="left"/>
      </w:pPr>
      <w:r>
        <w:rPr>
          <w:rFonts w:ascii="Microsoft Sans Serif" w:hAnsi="Microsoft Sans Serif" w:eastAsia="Microsoft Sans Serif" w:cs="Microsoft Sans Serif"/>
          <w:sz w:val="17"/>
        </w:rPr>
        <w:t>IATA :9</w:t>
      </w:r>
    </w:p>
    <w:p>
      <w:pPr>
        <w:spacing w:after="136"/>
        <w:ind w:right="67"/>
      </w:pPr>
      <w:r>
        <w:t>14.4. Groupe d’emballage</w:t>
      </w:r>
    </w:p>
    <w:p>
      <w:pPr>
        <w:spacing w:after="8" w:line="251" w:lineRule="auto"/>
        <w:ind w:left="-5" w:right="125"/>
        <w:jc w:val="left"/>
      </w:pPr>
      <w:r>
        <w:rPr>
          <w:rFonts w:ascii="Microsoft Sans Serif" w:hAnsi="Microsoft Sans Serif" w:eastAsia="Microsoft Sans Serif" w:cs="Microsoft Sans Serif"/>
          <w:sz w:val="17"/>
        </w:rPr>
        <w:t>ADR : NON REGLEMENTE</w:t>
      </w:r>
    </w:p>
    <w:p>
      <w:pPr>
        <w:spacing w:after="8" w:line="251" w:lineRule="auto"/>
        <w:ind w:left="-5" w:right="125"/>
        <w:jc w:val="left"/>
      </w:pPr>
      <w:r>
        <w:rPr>
          <w:rFonts w:ascii="Microsoft Sans Serif" w:hAnsi="Microsoft Sans Serif" w:eastAsia="Microsoft Sans Serif" w:cs="Microsoft Sans Serif"/>
          <w:sz w:val="17"/>
        </w:rPr>
        <w:t>IMDG:NON REGLEMENTE</w:t>
      </w:r>
    </w:p>
    <w:p>
      <w:pPr>
        <w:spacing w:after="323" w:line="251" w:lineRule="auto"/>
        <w:ind w:left="-5" w:right="125"/>
        <w:jc w:val="left"/>
      </w:pPr>
      <w:r>
        <w:rPr>
          <w:rFonts w:ascii="Microsoft Sans Serif" w:hAnsi="Microsoft Sans Serif" w:eastAsia="Microsoft Sans Serif" w:cs="Microsoft Sans Serif"/>
          <w:sz w:val="17"/>
        </w:rPr>
        <w:t>IATA :III</w:t>
      </w:r>
    </w:p>
    <w:p>
      <w:pPr>
        <w:spacing w:after="136"/>
        <w:ind w:right="67"/>
      </w:pPr>
      <w:r>
        <w:t>14.5. Dangers pour l’environnement</w:t>
      </w:r>
    </w:p>
    <w:p>
      <w:pPr>
        <w:spacing w:after="326" w:line="251" w:lineRule="auto"/>
        <w:ind w:left="-5" w:right="125"/>
        <w:jc w:val="left"/>
      </w:pPr>
      <w:r>
        <w:rPr>
          <w:rFonts w:ascii="Microsoft Sans Serif" w:hAnsi="Microsoft Sans Serif" w:eastAsia="Microsoft Sans Serif" w:cs="Microsoft Sans Serif"/>
          <w:sz w:val="17"/>
        </w:rPr>
        <w:t>IMDG : NON REGLEMENTE</w:t>
      </w:r>
    </w:p>
    <w:p>
      <w:pPr>
        <w:spacing w:after="136"/>
        <w:ind w:right="67"/>
      </w:pPr>
      <w:r>
        <w:t>14.6. Précautions particulières à prendre par l’utilisateur</w:t>
      </w:r>
    </w:p>
    <w:p>
      <w:pPr>
        <w:spacing w:after="326" w:line="251" w:lineRule="auto"/>
        <w:ind w:left="-5" w:right="125"/>
        <w:jc w:val="left"/>
      </w:pPr>
      <w:r>
        <w:rPr>
          <w:rFonts w:ascii="Microsoft Sans Serif" w:hAnsi="Microsoft Sans Serif" w:eastAsia="Microsoft Sans Serif" w:cs="Microsoft Sans Serif"/>
          <w:sz w:val="17"/>
        </w:rPr>
        <w:t>NON CONCERNE</w:t>
      </w:r>
    </w:p>
    <w:p>
      <w:pPr>
        <w:spacing w:after="134"/>
        <w:ind w:right="67"/>
      </w:pPr>
      <w:r>
        <w:t>14.7. Transport maritime en vrac conformément aux instruments de l’OMI</w:t>
      </w:r>
    </w:p>
    <w:p>
      <w:pPr>
        <w:spacing w:after="192" w:line="251" w:lineRule="auto"/>
        <w:ind w:left="-5" w:right="12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pPr>
      <w:r>
        <w:t>15.1. Réglementations/législation particulières à la substance ou au mélange en matière de sécurité, de santé et d'environnement</w:t>
      </w:r>
    </w:p>
    <w:p>
      <w:pPr>
        <w:ind w:left="-5" w:right="67"/>
      </w:pPr>
      <w:r>
        <w:t>Règlements de l'UE:</w:t>
      </w:r>
    </w:p>
    <w:p>
      <w:pPr>
        <w:spacing w:after="221" w:line="231" w:lineRule="auto"/>
        <w:ind w:left="0" w:firstLine="0"/>
        <w:jc w:val="left"/>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78"/>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91"/>
        <w:ind w:left="-15" w:firstLine="0"/>
        <w:jc w:val="left"/>
      </w:pPr>
      <w:r>
        <w:rPr>
          <w:sz w:val="18"/>
        </w:rPr>
        <w:t>H226</w:t>
      </w:r>
      <w:r>
        <w:rPr>
          <w:sz w:val="18"/>
        </w:rPr>
        <w:tab/>
      </w:r>
      <w:r>
        <w:rPr>
          <w:sz w:val="18"/>
        </w:rPr>
        <w:t>Liquide et vapeurs inflammables.</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91"/>
        <w:ind w:left="-15" w:firstLine="0"/>
        <w:jc w:val="left"/>
      </w:pPr>
      <w:r>
        <w:rPr>
          <w:sz w:val="18"/>
        </w:rPr>
        <w:t>H400</w:t>
      </w:r>
      <w:r>
        <w:rPr>
          <w:sz w:val="18"/>
        </w:rPr>
        <w:tab/>
      </w:r>
      <w:r>
        <w:rPr>
          <w:sz w:val="18"/>
        </w:rPr>
        <w:t>Très toxique pour les organismes aquatiques.</w:t>
      </w:r>
    </w:p>
    <w:p>
      <w:pPr>
        <w:tabs>
          <w:tab w:val="center" w:pos="5226"/>
        </w:tabs>
        <w:spacing w:after="88"/>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1437" w:left="1190" w:header="720" w:footer="878"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54"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54"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p>
    <w:pPr>
      <w:spacing w:after="0" w:line="259" w:lineRule="auto"/>
      <w:ind w:left="50" w:firstLine="0"/>
      <w:jc w:val="left"/>
    </w:pPr>
    <w:r>
      <w:rPr>
        <w:b/>
        <w:sz w:val="14"/>
      </w:rPr>
      <w:t>SAS V.O.AROMATIQUES 9 ZAC du Pilon CS 80460 Pays de GRASSE 06460 SAINT VALLIER DE THIEY -  Tél:0033 04 93 42 91 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54"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p>
    <w:pPr>
      <w:spacing w:after="0" w:line="259" w:lineRule="auto"/>
      <w:ind w:left="50" w:firstLine="0"/>
      <w:jc w:val="left"/>
    </w:pPr>
    <w:r>
      <w:rPr>
        <w:b/>
        <w:sz w:val="14"/>
      </w:rPr>
      <w:t>SAS V.O.AROMATIQUES 9 ZAC du Pilon CS 80460 Pays de GRASSE 06460 SAINT VALLIER DE THIEY -  Tél:0033 04 93 42 91 88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09/02/2022</w:t>
    </w:r>
    <w:r>
      <w:rPr>
        <w:sz w:val="16"/>
      </w:rPr>
      <w:tab/>
    </w:r>
    <w:r>
      <w:rPr>
        <w:sz w:val="16"/>
      </w:rPr>
      <w:t>Diamant 10%</w:t>
    </w:r>
    <w:r>
      <w:rPr>
        <w:sz w:val="16"/>
      </w:rPr>
      <w:tab/>
    </w:r>
    <w:r>
      <w:rPr>
        <w:sz w:val="16"/>
      </w:rPr>
      <w:t>Révision : 001NEW-1-CLP du 09/02/2022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09/02/2022</w:t>
    </w:r>
    <w:r>
      <w:rPr>
        <w:sz w:val="16"/>
      </w:rPr>
      <w:tab/>
    </w:r>
    <w:r>
      <w:rPr>
        <w:sz w:val="16"/>
      </w:rPr>
      <w:t>Diamant 10%</w:t>
    </w:r>
    <w:r>
      <w:rPr>
        <w:sz w:val="16"/>
      </w:rPr>
      <w:tab/>
    </w:r>
    <w:r>
      <w:rPr>
        <w:sz w:val="16"/>
      </w:rPr>
      <w:t>Révision : 001NEW-1-CLP du 09/02/2022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09/02/2022</w:t>
    </w:r>
    <w:r>
      <w:rPr>
        <w:sz w:val="16"/>
      </w:rPr>
      <w:tab/>
    </w:r>
    <w:r>
      <w:rPr>
        <w:sz w:val="16"/>
      </w:rPr>
      <w:t>Diamant 10%</w:t>
    </w:r>
    <w:r>
      <w:rPr>
        <w:sz w:val="16"/>
      </w:rPr>
      <w:tab/>
    </w:r>
    <w:r>
      <w:rPr>
        <w:sz w:val="16"/>
      </w:rPr>
      <w:t>Révision : 001NEW-1-CLP du 09/02/2022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09/02/2022</w:t>
    </w:r>
    <w:r>
      <w:rPr>
        <w:sz w:val="16"/>
      </w:rPr>
      <w:tab/>
    </w:r>
    <w:r>
      <w:rPr>
        <w:sz w:val="16"/>
      </w:rPr>
      <w:t>Diamant 10%</w:t>
    </w:r>
    <w:r>
      <w:rPr>
        <w:sz w:val="16"/>
      </w:rPr>
      <w:tab/>
    </w:r>
    <w:r>
      <w:rPr>
        <w:sz w:val="16"/>
      </w:rPr>
      <w:t>Révision : 001NEW-1-CLP du 09/02/2022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D748A"/>
    <w:multiLevelType w:val="multilevel"/>
    <w:tmpl w:val="1E6D748A"/>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36D7068E"/>
    <w:multiLevelType w:val="multilevel"/>
    <w:tmpl w:val="36D7068E"/>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4F443401"/>
    <w:multiLevelType w:val="multilevel"/>
    <w:tmpl w:val="4F443401"/>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1D"/>
    <w:rsid w:val="005D431D"/>
    <w:rsid w:val="00771A2F"/>
    <w:rsid w:val="00A14746"/>
    <w:rsid w:val="00FB2645"/>
    <w:rsid w:val="06E3371E"/>
    <w:rsid w:val="58855DD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4"/>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3378</Words>
  <Characters>18580</Characters>
  <Lines>154</Lines>
  <Paragraphs>43</Paragraphs>
  <TotalTime>1</TotalTime>
  <ScaleCrop>false</ScaleCrop>
  <LinksUpToDate>false</LinksUpToDate>
  <CharactersWithSpaces>21915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2022-02-09T15:55:00Z</dcterms:created>
  <dc:creator>stagiaire</dc:creator>
  <cp:lastModifiedBy>Laetitia Castro</cp:lastModifiedBy>
  <cp:lastPrinted>2022-09-14T14:48:00Z</cp:lastPrinted>
  <dcterms:modified xsi:type="dcterms:W3CDTF">2024-02-08T09:51:10Z</dcterms:modified>
  <dc:title>Fiche de données de sécurité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960BD75E5EB047A98431CC996E8A377D</vt:lpwstr>
  </property>
</Properties>
</file>