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right" w:pos="9620"/>
        </w:tabs>
        <w:spacing w:after="370" w:line="259" w:lineRule="auto"/>
        <w:ind w:left="0" w:firstLine="0"/>
        <w:jc w:val="left"/>
      </w:pPr>
      <w:r>
        <w:rPr>
          <w:sz w:val="16"/>
        </w:rPr>
        <w:t>Édité le :</w:t>
      </w:r>
      <w:r>
        <w:rPr>
          <w:sz w:val="16"/>
        </w:rPr>
        <w:tab/>
      </w:r>
      <w:r>
        <w:rPr>
          <w:sz w:val="16"/>
        </w:rPr>
        <w:t>20/04/2022</w:t>
      </w:r>
      <w:r>
        <w:rPr>
          <w:sz w:val="16"/>
        </w:rPr>
        <w:tab/>
      </w:r>
      <w:r>
        <w:rPr>
          <w:sz w:val="16"/>
        </w:rPr>
        <w:t>Révision : 001NEW-1-CLP du 20/04/2022</w:t>
      </w:r>
    </w:p>
    <w:p>
      <w:pPr>
        <w:pStyle w:val="2"/>
      </w:pPr>
      <w:r>
        <w:t>Fleur de tiaré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Fleur de tiaré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right="67"/>
        <w:rPr>
          <w:sz w:val="18"/>
        </w:rPr>
      </w:pPr>
    </w:p>
    <w:p>
      <w:pPr>
        <w:spacing w:after="153"/>
        <w:ind w:left="0" w:leftChars="0" w:right="67" w:firstLine="0" w:firstLineChars="0"/>
        <w:rPr>
          <w:sz w:val="18"/>
        </w:rPr>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right="740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6" w:line="251" w:lineRule="auto"/>
        <w:ind w:left="-5"/>
        <w:jc w:val="left"/>
      </w:pPr>
      <w:r>
        <w:rPr>
          <w:rFonts w:ascii="Microsoft Sans Serif" w:hAnsi="Microsoft Sans Serif" w:eastAsia="Microsoft Sans Serif" w:cs="Microsoft Sans Serif"/>
          <w:sz w:val="17"/>
        </w:rPr>
        <w:t>EUH208 - Contient methyl cedryl ketone (vertofix coeur), (6E)-3,7-dimethylnona-1,6-dien-3-ol (ethyl linalool), hexyl 2hydroxybenzoate (hexyl salicylate), 3,7-dimethylocta-1,6-dien-3-yl acetate (linalyl acetate), 1,3-benzodioxole-5-carbaldehyde (heliotropin).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1"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8" w:line="248" w:lineRule="auto"/>
        <w:ind w:left="-5"/>
        <w:jc w:val="left"/>
      </w:pPr>
      <w:r>
        <w:rPr>
          <w:rFonts w:ascii="Tahoma" w:hAnsi="Tahoma" w:eastAsia="Tahoma" w:cs="Tahoma"/>
          <w:sz w:val="18"/>
        </w:rPr>
        <w:t>EUH208 - Contient methyl cedryl ketone (vertofix coeur), (6E)-3,7-dimethylnona-1,6-dien-3-ol (ethyl linalool), hexyl 2hydroxybenzoate (hexyl salicylate), 3,7-dimethylocta-1,6-dien-3-yl acetate (linalyl acetate), 1,3-benzodioxole-5carbaldehyde (heliotropin).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62" w:type="dxa"/>
        </w:tblCellMar>
      </w:tblPr>
      <w:tblGrid>
        <w:gridCol w:w="3510"/>
        <w:gridCol w:w="991"/>
        <w:gridCol w:w="779"/>
        <w:gridCol w:w="2998"/>
        <w:gridCol w:w="1318"/>
      </w:tblGrid>
      <w:tr>
        <w:tblPrEx>
          <w:tblCellMar>
            <w:top w:w="48" w:type="dxa"/>
            <w:left w:w="54" w:type="dxa"/>
            <w:bottom w:w="0" w:type="dxa"/>
            <w:right w:w="62"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62"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(6E)-3,7-dimethylnona-1,6-dien-3-ol (ethyl linalool)   (No REACH :</w:t>
            </w:r>
          </w:p>
          <w:p>
            <w:pPr>
              <w:spacing w:after="0" w:line="259" w:lineRule="auto"/>
              <w:ind w:left="1" w:firstLine="0"/>
              <w:jc w:val="left"/>
            </w:pPr>
            <w:r>
              <w:rPr>
                <w:sz w:val="16"/>
              </w:rPr>
              <w:t>01-2119969272-32-XXXX)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10339-55-6</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233-732-6</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Sens. 1B - H317, H319</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62" w:type="dxa"/>
          </w:tblCellMar>
        </w:tblPrEx>
        <w:trPr>
          <w:trHeight w:val="47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1,3-benzodioxole-5-carbaldehyde (heliotropin)</w:t>
            </w:r>
          </w:p>
          <w:p>
            <w:pPr>
              <w:spacing w:after="0" w:line="259" w:lineRule="auto"/>
              <w:ind w:left="1" w:firstLine="0"/>
              <w:jc w:val="left"/>
            </w:pPr>
            <w:r>
              <w:rPr>
                <w:sz w:val="16"/>
              </w:rPr>
              <w:t>(No REACH : 01-2119983608-21-XXXX)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120-57-0</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204-409-7</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Skin Sens. 1B - H317</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62" w:type="dxa"/>
          </w:tblCellMar>
        </w:tblPrEx>
        <w:trPr>
          <w:trHeight w:val="656"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3,7-dimethylocta-1,6-dien-3-yl acetate (linalyl acetate)   (No REACH : 01-2119454789-19-XXXX)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115-95-7</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9" w:firstLine="0"/>
              <w:jc w:val="left"/>
            </w:pPr>
            <w:r>
              <w:rPr>
                <w:sz w:val="14"/>
              </w:rPr>
              <w:t>204-116-4</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Eye Irrit. 2, Skin Irrit. 2, Skin Sens. 1B H315, H317, H319</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hexyl 2-hydroxybenzoate (hexyl salicylate)   (No REACH : 01-2119638275-36-0000)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6259-76-3</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228-408-6</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right="47" w:firstLine="0"/>
              <w:jc w:val="left"/>
            </w:pPr>
            <w:r>
              <w:rPr>
                <w:sz w:val="16"/>
              </w:rPr>
              <w:t>Aquatic Acute 1, Aquatic Chronic 1, Skin Sens. 1B - H317,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48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methyl cedryl ketone (vertofix coeur)   (No REACH : 01-2119969651-28-XXXX)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32388-55-9</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251-020-3</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right="47" w:firstLine="0"/>
              <w:jc w:val="left"/>
            </w:pPr>
            <w:r>
              <w:rPr>
                <w:sz w:val="16"/>
              </w:rPr>
              <w:t>Aquatic Acute 1, Aquatic Chronic 1, Skin Sens. 1B - H317,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47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0" w:right="107" w:firstLine="0"/>
              <w:jc w:val="left"/>
            </w:pPr>
            <w:r>
              <w:rPr>
                <w:sz w:val="16"/>
              </w:rPr>
              <w:t>pentyl 2-hydroxybenzoate (amyl salicylate) (No REACH : 01-2119969444-27-XXXX)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12" w:firstLine="0"/>
              <w:jc w:val="center"/>
            </w:pPr>
            <w:r>
              <w:rPr>
                <w:sz w:val="14"/>
              </w:rPr>
              <w:t>2050-08-0</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218-080-2</w:t>
            </w:r>
          </w:p>
        </w:tc>
        <w:tc>
          <w:tcPr>
            <w:tcW w:w="2998" w:type="dxa"/>
            <w:tcBorders>
              <w:top w:val="double" w:color="C0C0C0" w:sz="2" w:space="0"/>
              <w:left w:val="single" w:color="C0C0C0" w:sz="4" w:space="0"/>
              <w:bottom w:val="single" w:color="C0C0C0" w:sz="2" w:space="0"/>
              <w:right w:val="single" w:color="C0C0C0" w:sz="4" w:space="0"/>
            </w:tcBorders>
          </w:tcPr>
          <w:p>
            <w:pPr>
              <w:spacing w:after="0" w:line="259" w:lineRule="auto"/>
              <w:ind w:left="2" w:firstLine="0"/>
            </w:pPr>
            <w:r>
              <w:rPr>
                <w:sz w:val="16"/>
              </w:rPr>
              <w:t>Acute Tox. 4, Aquatic Acute 1, Aquatic Chronic 1 - H302,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18"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after="766" w:line="425" w:lineRule="auto"/>
        <w:ind w:left="-15" w:right="3754" w:firstLine="737"/>
      </w:pPr>
      <w:r>
        <w:t>4.2. Principaux symptômes et effets, aigus et différés Tenir compte des phrases de risques et de sécurité.</w:t>
      </w:r>
    </w:p>
    <w:p>
      <w:pPr>
        <w:spacing w:after="156"/>
        <w:ind w:right="67"/>
      </w:pPr>
      <w:r>
        <w:t>4.3. Indication des éventuels soins médicaux immédiats et traitements particuliers nécessaires</w:t>
      </w:r>
    </w:p>
    <w:p>
      <w:pPr>
        <w:ind w:left="-5" w:right="67"/>
      </w:pPr>
      <w:r>
        <w:t>Traitement spécifique: premier secours, traitement des symptômes.</w:t>
      </w:r>
    </w:p>
    <w:p>
      <w:pPr>
        <w:ind w:left="-5" w:right="67"/>
      </w:pPr>
      <w:r>
        <w:t>Commentaires pour le médecin: traiter symptômatiquement.</w:t>
      </w:r>
    </w:p>
    <w:p>
      <w:pPr>
        <w:pStyle w:val="3"/>
        <w:ind w:left="-5"/>
      </w:pPr>
      <w:r>
        <w:t>5: MESURES DE LUTTE CONTRE L'INCENDIE</w:t>
      </w:r>
    </w:p>
    <w:p>
      <w:pPr>
        <w:spacing w:after="153"/>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3"/>
        <w:ind w:right="67"/>
      </w:pPr>
      <w:r>
        <w:t>6.2. Précautions pour la protection de l’environnement</w:t>
      </w:r>
    </w:p>
    <w:p>
      <w:pPr>
        <w:spacing w:after="1089"/>
        <w:ind w:left="-5" w:right="67"/>
      </w:pPr>
      <w:r>
        <w:t>Assurez-vous que les déversements peuvent être contenus, par exemple dans des puisards palette ou des zones de rétention. Ne pas laisser pénétrer dans les eaux de surface ou les égouts.</w:t>
      </w:r>
    </w:p>
    <w:p>
      <w:pPr>
        <w:spacing w:after="156"/>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3"/>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77"/>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9168" w:type="dxa"/>
        <w:tblInd w:w="0" w:type="dxa"/>
        <w:tblLayout w:type="autofit"/>
        <w:tblCellMar>
          <w:top w:w="0" w:type="dxa"/>
          <w:left w:w="0" w:type="dxa"/>
          <w:bottom w:w="0" w:type="dxa"/>
          <w:right w:w="0" w:type="dxa"/>
        </w:tblCellMar>
      </w:tblPr>
      <w:tblGrid>
        <w:gridCol w:w="3096"/>
        <w:gridCol w:w="6072"/>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1272" w:hRule="atLeast"/>
        </w:trPr>
        <w:tc>
          <w:tcPr>
            <w:tcW w:w="3096" w:type="dxa"/>
            <w:tcBorders>
              <w:top w:val="nil"/>
              <w:left w:val="nil"/>
              <w:bottom w:val="nil"/>
              <w:right w:val="nil"/>
            </w:tcBorders>
          </w:tcPr>
          <w:p>
            <w:pPr>
              <w:spacing w:after="292" w:line="259" w:lineRule="auto"/>
              <w:ind w:left="0" w:firstLine="0"/>
              <w:jc w:val="left"/>
            </w:pPr>
            <w:r>
              <w:rPr>
                <w:rFonts w:ascii="Tahoma" w:hAnsi="Tahoma" w:eastAsia="Tahoma" w:cs="Tahoma"/>
                <w:sz w:val="18"/>
              </w:rPr>
              <w:t>Caractéristiques des particules :</w:t>
            </w:r>
          </w:p>
          <w:p>
            <w:pPr>
              <w:spacing w:after="161" w:line="259" w:lineRule="auto"/>
              <w:ind w:left="737" w:firstLine="0"/>
              <w:jc w:val="left"/>
            </w:pPr>
            <w:r>
              <w:t>9.2. Autres informations</w:t>
            </w:r>
          </w:p>
          <w:p>
            <w:pPr>
              <w:spacing w:after="0" w:line="259" w:lineRule="auto"/>
              <w:ind w:left="0" w:firstLine="0"/>
              <w:jc w:val="left"/>
            </w:pPr>
            <w:r>
              <w:rPr>
                <w:rFonts w:ascii="Tahoma" w:hAnsi="Tahoma" w:eastAsia="Tahoma" w:cs="Tahoma"/>
                <w:sz w:val="18"/>
              </w:rPr>
              <w:t>Indice de réfraction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r>
        <w:tblPrEx>
          <w:tblCellMar>
            <w:top w:w="0" w:type="dxa"/>
            <w:left w:w="0" w:type="dxa"/>
            <w:bottom w:w="0" w:type="dxa"/>
            <w:right w:w="0" w:type="dxa"/>
          </w:tblCellMar>
        </w:tblPrEx>
        <w:trPr>
          <w:trHeight w:val="49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Conditions de stockage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24 mois à faible température entre 15°C et 20°C dans un récipient fermé hermétiquement et à l'abri de la lumière.</w:t>
            </w:r>
          </w:p>
        </w:tc>
      </w:tr>
    </w:tbl>
    <w:p>
      <w:pPr>
        <w:pStyle w:val="3"/>
        <w:ind w:left="-5"/>
      </w:pPr>
      <w:r>
        <w:t>10: STABILITE ET REACTIVITE</w:t>
      </w:r>
    </w:p>
    <w:p>
      <w:pPr>
        <w:spacing w:after="153"/>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1"/>
        <w:ind w:left="-5" w:right="67"/>
      </w:pPr>
      <w:r>
        <w:t>La substance est chimiquement stable dans les conditions recommandées de stockage, d'utilisation et de température.</w:t>
      </w:r>
    </w:p>
    <w:p>
      <w:pPr>
        <w:spacing w:after="153"/>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1"/>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3"/>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ind w:right="5546" w:hanging="233"/>
      </w:pPr>
      <w:r>
        <w:t>corrosion cutanée/irritation cutanée</w:t>
      </w:r>
    </w:p>
    <w:p>
      <w:pPr>
        <w:spacing w:after="189"/>
        <w:ind w:left="-5" w:right="67"/>
      </w:pPr>
      <w:r>
        <w:t>voir section 2</w:t>
      </w:r>
    </w:p>
    <w:p>
      <w:pPr>
        <w:numPr>
          <w:ilvl w:val="0"/>
          <w:numId w:val="2"/>
        </w:numPr>
        <w:spacing w:after="193"/>
        <w:ind w:right="5546" w:hanging="233"/>
      </w:pPr>
      <w:r>
        <w:t>lésions oculaires graves/irritation oculairevoir section 2</w:t>
      </w:r>
    </w:p>
    <w:p>
      <w:pPr>
        <w:numPr>
          <w:ilvl w:val="0"/>
          <w:numId w:val="2"/>
        </w:numPr>
        <w:spacing w:after="193"/>
        <w:ind w:right="5546" w:hanging="233"/>
      </w:pPr>
      <w:r>
        <w:t>sensibilisation respiratoire ou cutanéevoir section 2</w:t>
      </w:r>
    </w:p>
    <w:p>
      <w:pPr>
        <w:numPr>
          <w:ilvl w:val="0"/>
          <w:numId w:val="2"/>
        </w:numPr>
        <w:spacing w:after="193"/>
        <w:ind w:right="5546" w:hanging="233"/>
      </w:pPr>
      <w:r>
        <w:t>mutagénicité sur les cellules germinalesvoir section 2</w:t>
      </w:r>
    </w:p>
    <w:p>
      <w:pPr>
        <w:numPr>
          <w:ilvl w:val="0"/>
          <w:numId w:val="2"/>
        </w:numPr>
        <w:spacing w:after="193"/>
        <w:ind w:right="5546" w:hanging="233"/>
      </w:pPr>
      <w:r>
        <w:t>cancérogénicitévoir section 2</w:t>
      </w:r>
    </w:p>
    <w:p>
      <w:pPr>
        <w:numPr>
          <w:ilvl w:val="0"/>
          <w:numId w:val="2"/>
        </w:numPr>
        <w:spacing w:after="193"/>
        <w:ind w:right="5546" w:hanging="233"/>
      </w:pPr>
      <w:r>
        <w:t>toxicité pour la reproductionvoir section 2</w:t>
      </w:r>
    </w:p>
    <w:p>
      <w:pPr>
        <w:numPr>
          <w:ilvl w:val="0"/>
          <w:numId w:val="2"/>
        </w:numPr>
        <w:spacing w:after="193"/>
        <w:ind w:right="5546" w:hanging="233"/>
      </w:pPr>
      <w:r>
        <w:t>toxicité spécifique pour certains organes cibles (STOT) - exposition uniquevoir section 2</w:t>
      </w:r>
    </w:p>
    <w:p>
      <w:pPr>
        <w:numPr>
          <w:ilvl w:val="0"/>
          <w:numId w:val="2"/>
        </w:numPr>
        <w:spacing w:after="193"/>
        <w:ind w:right="5546" w:hanging="233"/>
      </w:pPr>
      <w:r>
        <w:t>toxicité spécifique pour certains organes cibles (STOT) - exposition répétéevoir section 2</w:t>
      </w:r>
    </w:p>
    <w:p>
      <w:pPr>
        <w:numPr>
          <w:ilvl w:val="0"/>
          <w:numId w:val="2"/>
        </w:numPr>
        <w:spacing w:after="915"/>
        <w:ind w:right="5546" w:hanging="233"/>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2"/>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ind w:right="67"/>
      </w:pPr>
      <w:r>
        <w:t>12.3. Potentiel de bioaccumulation</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30"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0" w:type="dxa"/>
            <w:right w:w="53" w:type="dxa"/>
          </w:tblCellMar>
        </w:tblPrEx>
        <w:trPr>
          <w:trHeight w:val="6853"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206" w:line="259" w:lineRule="auto"/>
              <w:ind w:left="0" w:firstLine="0"/>
              <w:jc w:val="left"/>
            </w:pPr>
            <w:r>
              <w:rPr>
                <w:sz w:val="16"/>
              </w:rPr>
              <w:t>Édité le :</w:t>
            </w:r>
            <w:r>
              <w:rPr>
                <w:sz w:val="16"/>
              </w:rPr>
              <w:tab/>
            </w:r>
            <w:r>
              <w:rPr>
                <w:sz w:val="16"/>
              </w:rPr>
              <w:t>20/04/2022</w:t>
            </w:r>
            <w:r>
              <w:rPr>
                <w:sz w:val="16"/>
              </w:rPr>
              <w:tab/>
            </w:r>
            <w:r>
              <w:rPr>
                <w:sz w:val="16"/>
              </w:rPr>
              <w:t>Fleur de tiaré 10%</w:t>
            </w:r>
          </w:p>
          <w:p>
            <w:pPr>
              <w:spacing w:after="701" w:line="259" w:lineRule="auto"/>
              <w:ind w:left="56" w:firstLine="0"/>
              <w:jc w:val="left"/>
            </w:pPr>
            <w:r>
              <w:t>Pas de données à ce jour.</w:t>
            </w:r>
          </w:p>
          <w:p>
            <w:pPr>
              <w:spacing w:after="542" w:line="427" w:lineRule="auto"/>
              <w:ind w:left="56" w:right="3243" w:firstLine="737"/>
              <w:jc w:val="left"/>
            </w:pPr>
            <w:r>
              <w:t>12.4. Mobilité dans le sol Pas de données à ce jour.</w:t>
            </w:r>
          </w:p>
          <w:p>
            <w:pPr>
              <w:spacing w:after="542" w:line="427" w:lineRule="auto"/>
              <w:ind w:left="56" w:right="1486" w:firstLine="737"/>
              <w:jc w:val="left"/>
            </w:pPr>
            <w:r>
              <w:t>12.5. Résultats des évaluations PBT et vPvB Pas de données à ce jour.</w:t>
            </w:r>
          </w:p>
          <w:p>
            <w:pPr>
              <w:spacing w:after="545" w:line="425"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20/04/2022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36"/>
        <w:ind w:left="-5"/>
      </w:pPr>
      <w:r>
        <w:t>14: INFORMATIONS RELATIVES AU TRANSPORT</w:t>
      </w:r>
    </w:p>
    <w:p>
      <w:pPr>
        <w:ind w:left="-5" w:right="67"/>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694"/>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1"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81"/>
        <w:ind w:left="-5" w:right="67"/>
      </w:pPr>
      <w:r>
        <w:t>NON REGLEMENTE</w:t>
      </w:r>
    </w:p>
    <w:p>
      <w:pPr>
        <w:spacing w:after="136"/>
        <w:ind w:right="67"/>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6"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6"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6"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6" w:line="251" w:lineRule="auto"/>
        <w:ind w:left="-5" w:right="7405"/>
        <w:jc w:val="left"/>
      </w:pPr>
      <w:r>
        <w:rPr>
          <w:rFonts w:ascii="Microsoft Sans Serif" w:hAnsi="Microsoft Sans Serif" w:eastAsia="Microsoft Sans Serif" w:cs="Microsoft Sans Serif"/>
          <w:sz w:val="17"/>
        </w:rPr>
        <w:t>IMDG : NON REGLEMENTE</w:t>
      </w:r>
    </w:p>
    <w:p>
      <w:pPr>
        <w:spacing w:after="134"/>
        <w:ind w:right="67"/>
      </w:pPr>
      <w:r>
        <w:t>14.6. Précautions particulières à prendre par l’utilisateur</w:t>
      </w:r>
    </w:p>
    <w:p>
      <w:pPr>
        <w:spacing w:after="326" w:line="251"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1"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67"/>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78"/>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2679"/>
        </w:tabs>
        <w:spacing w:after="91"/>
        <w:ind w:left="-15" w:firstLine="0"/>
        <w:jc w:val="left"/>
      </w:pPr>
      <w:r>
        <w:rPr>
          <w:sz w:val="18"/>
        </w:rPr>
        <w:t>H302</w:t>
      </w:r>
      <w:r>
        <w:rPr>
          <w:sz w:val="18"/>
        </w:rPr>
        <w:tab/>
      </w:r>
      <w:r>
        <w:rPr>
          <w:sz w:val="18"/>
        </w:rPr>
        <w:t>Nocif en cas d'ingestion.</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5226"/>
        </w:tabs>
        <w:spacing w:after="105"/>
        <w:ind w:left="-15" w:firstLine="0"/>
        <w:jc w:val="left"/>
      </w:pPr>
      <w:r>
        <w:rPr>
          <w:sz w:val="18"/>
        </w:rPr>
        <w:t>H410</w:t>
      </w:r>
      <w:r>
        <w:rPr>
          <w:sz w:val="18"/>
        </w:rPr>
        <w:tab/>
      </w:r>
      <w:r>
        <w:rPr>
          <w:sz w:val="18"/>
        </w:rPr>
        <w:t>Très toxique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ind w:left="-5" w:right="67"/>
      </w:pPr>
      <w:r>
        <w:t>UE: Union Européenne.</w:t>
      </w:r>
    </w:p>
    <w:p>
      <w:pPr>
        <w:ind w:left="-5" w:right="67"/>
      </w:pPr>
      <w:r>
        <w:t>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54"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20/04/2022</w:t>
    </w:r>
    <w:r>
      <w:rPr>
        <w:sz w:val="16"/>
      </w:rPr>
      <w:tab/>
    </w:r>
    <w:r>
      <w:rPr>
        <w:sz w:val="16"/>
      </w:rPr>
      <w:t>Fleur de tiaré 10%</w:t>
    </w:r>
    <w:r>
      <w:rPr>
        <w:sz w:val="16"/>
      </w:rPr>
      <w:tab/>
    </w:r>
    <w:r>
      <w:rPr>
        <w:sz w:val="16"/>
      </w:rPr>
      <w:t>Révision : 001NEW-1-CLP du 20/04/2022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20/04/2022</w:t>
    </w:r>
    <w:r>
      <w:rPr>
        <w:sz w:val="16"/>
      </w:rPr>
      <w:tab/>
    </w:r>
    <w:r>
      <w:rPr>
        <w:sz w:val="16"/>
      </w:rPr>
      <w:t>Fleur de tiaré 10%</w:t>
    </w:r>
    <w:r>
      <w:rPr>
        <w:sz w:val="16"/>
      </w:rPr>
      <w:tab/>
    </w:r>
    <w:r>
      <w:rPr>
        <w:sz w:val="16"/>
      </w:rPr>
      <w:t>Révision : 001NEW-1-CLP du 20/04/2022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20/04/2022</w:t>
    </w:r>
    <w:r>
      <w:rPr>
        <w:sz w:val="16"/>
      </w:rPr>
      <w:tab/>
    </w:r>
    <w:r>
      <w:rPr>
        <w:sz w:val="16"/>
      </w:rPr>
      <w:t>Fleur de tiaré 10%</w:t>
    </w:r>
    <w:r>
      <w:rPr>
        <w:sz w:val="16"/>
      </w:rPr>
      <w:tab/>
    </w:r>
    <w:r>
      <w:rPr>
        <w:sz w:val="16"/>
      </w:rPr>
      <w:t>Révision : 001NEW-1-CLP du 20/04/2022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20/04/2022</w:t>
    </w:r>
    <w:r>
      <w:rPr>
        <w:sz w:val="16"/>
      </w:rPr>
      <w:tab/>
    </w:r>
    <w:r>
      <w:rPr>
        <w:sz w:val="16"/>
      </w:rPr>
      <w:t>Fleur de tiaré 10%</w:t>
    </w:r>
    <w:r>
      <w:rPr>
        <w:sz w:val="16"/>
      </w:rPr>
      <w:tab/>
    </w:r>
    <w:r>
      <w:rPr>
        <w:sz w:val="16"/>
      </w:rPr>
      <w:t>Révision : 001NEW-1-CLP du 20/04/2022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607FE"/>
    <w:multiLevelType w:val="multilevel"/>
    <w:tmpl w:val="1B8607FE"/>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379510A1"/>
    <w:multiLevelType w:val="multilevel"/>
    <w:tmpl w:val="379510A1"/>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45D71E92"/>
    <w:multiLevelType w:val="multilevel"/>
    <w:tmpl w:val="45D71E92"/>
    <w:lvl w:ilvl="0" w:tentative="0">
      <w:start w:val="2"/>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31"/>
    <w:rsid w:val="002004F0"/>
    <w:rsid w:val="00276431"/>
    <w:rsid w:val="48A30E4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3030</Words>
  <Characters>16670</Characters>
  <Lines>138</Lines>
  <Paragraphs>39</Paragraphs>
  <TotalTime>0</TotalTime>
  <ScaleCrop>false</ScaleCrop>
  <LinksUpToDate>false</LinksUpToDate>
  <CharactersWithSpaces>19661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2022-04-20T10:35:00Z</dcterms:created>
  <dc:creator>stagiaire</dc:creator>
  <cp:lastModifiedBy>Laetitia Castro</cp:lastModifiedBy>
  <dcterms:modified xsi:type="dcterms:W3CDTF">2024-02-08T09:54:08Z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7737427DB26B48C2B26E2E35A3F41791_12</vt:lpwstr>
  </property>
</Properties>
</file>