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rPr>
          <w:rFonts w:hint="default"/>
          <w:lang w:val="fr-FR"/>
        </w:rPr>
      </w:pPr>
      <w:r>
        <w:rPr>
          <w:b/>
          <w:sz w:val="36"/>
        </w:rPr>
        <w:t xml:space="preserve">Fiche de données de </w:t>
      </w:r>
      <w:r>
        <w:rPr>
          <w:b/>
          <w:sz w:val="36"/>
          <w:lang w:val="fr-FR"/>
        </w:rPr>
        <w:t>sécurité</w:t>
      </w:r>
    </w:p>
    <w:p>
      <w:pPr>
        <w:tabs>
          <w:tab w:val="center" w:pos="1779"/>
          <w:tab w:val="right" w:pos="9620"/>
        </w:tabs>
        <w:spacing w:after="370" w:line="259" w:lineRule="auto"/>
        <w:ind w:left="0" w:firstLine="0"/>
        <w:jc w:val="left"/>
      </w:pPr>
      <w:r>
        <w:rPr>
          <w:sz w:val="16"/>
        </w:rPr>
        <w:t>Édité le :</w:t>
      </w:r>
      <w:r>
        <w:rPr>
          <w:sz w:val="16"/>
        </w:rPr>
        <w:tab/>
      </w:r>
      <w:r>
        <w:rPr>
          <w:sz w:val="16"/>
        </w:rPr>
        <w:t>02/02/2022</w:t>
      </w:r>
      <w:r>
        <w:rPr>
          <w:sz w:val="16"/>
        </w:rPr>
        <w:tab/>
      </w:r>
      <w:r>
        <w:rPr>
          <w:sz w:val="16"/>
        </w:rPr>
        <w:t>Révision : 001NEW-1-CLP du 02/02/2022</w:t>
      </w:r>
    </w:p>
    <w:p>
      <w:pPr>
        <w:pStyle w:val="2"/>
      </w:pPr>
      <w:r>
        <w:t>Archange 10%</w:t>
      </w:r>
    </w:p>
    <w:p>
      <w:pPr>
        <w:pStyle w:val="3"/>
        <w:ind w:left="-5"/>
      </w:pPr>
      <w:r>
        <w:t>1: IDENTIFICATION DE LA SUBSTANCE/DU MELANGE ET DE LA SOCIETE/L'ENTREPRISE</w:t>
      </w:r>
    </w:p>
    <w:p>
      <w:pPr>
        <w:spacing w:after="134"/>
        <w:ind w:right="67"/>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Archange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r>
        <w:t xml:space="preserve">              </w:t>
      </w:r>
    </w:p>
    <w:p>
      <w:pPr>
        <w:ind w:left="-5" w:right="67"/>
      </w:pPr>
    </w:p>
    <w:p>
      <w:pPr>
        <w:ind w:left="-5" w:right="67"/>
      </w:pPr>
    </w:p>
    <w:p>
      <w:pPr>
        <w:spacing w:after="152"/>
        <w:ind w:right="67"/>
      </w:pPr>
      <w:r>
        <w:t>1.3. Renseignements concernant le fournisseur de la fiche de données de sécurité</w:t>
      </w:r>
    </w:p>
    <w:p>
      <w:pPr>
        <w:spacing w:after="152"/>
        <w:ind w:right="67"/>
        <w:rPr>
          <w:rFonts w:hint="default"/>
          <w:lang w:val="fr-FR"/>
        </w:rPr>
      </w:pPr>
      <w:r>
        <w:rPr>
          <w:rFonts w:hint="default"/>
          <w:lang w:val="fr-FR"/>
        </w:rPr>
        <w:t>Les Senteurs Fondantes</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ind w:right="67"/>
      </w:pPr>
      <w:bookmarkStart w:id="0" w:name="_GoBack"/>
      <w:bookmarkEnd w:id="0"/>
    </w:p>
    <w:p>
      <w:pPr>
        <w:spacing w:after="153"/>
        <w:ind w:left="0" w:leftChars="0" w:right="67" w:firstLine="0" w:firstLineChars="0"/>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spacing w:after="823"/>
        <w:ind w:left="-5" w:right="67"/>
      </w:pP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7" w:line="250" w:lineRule="auto"/>
        <w:ind w:left="-5" w:right="7405"/>
        <w:jc w:val="left"/>
      </w:pPr>
      <w:r>
        <w:rPr>
          <w:rFonts w:ascii="Microsoft Sans Serif" w:hAnsi="Microsoft Sans Serif" w:eastAsia="Microsoft Sans Serif" w:cs="Microsoft Sans Serif"/>
          <w:sz w:val="17"/>
        </w:rPr>
        <w:t>(LégislationCLP)</w:t>
      </w:r>
    </w:p>
    <w:p>
      <w:pPr>
        <w:spacing w:after="187" w:line="250"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7" w:line="250"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5" w:line="250" w:lineRule="auto"/>
        <w:ind w:left="-5"/>
        <w:jc w:val="left"/>
      </w:pPr>
      <w:r>
        <w:rPr>
          <w:rFonts w:ascii="Microsoft Sans Serif" w:hAnsi="Microsoft Sans Serif" w:eastAsia="Microsoft Sans Serif" w:cs="Microsoft Sans Serif"/>
          <w:sz w:val="17"/>
        </w:rPr>
        <w:t>EUH208 - Contient chromen-2-one (coumarin), (4R)-1-methyl-4-prop-1-en-2-ylcyclohexene (dextro-limonene), 7-hydroxy-3,7dimethyloctanal (hydroxycitronellal), 3,7-dimethylocta-1,6-dien-3-yl acetate (linalyl acetate), 3,7-dimethylocta-1,6-dien-3-ol (linalool), 3-(4-methoxyphenyl)-2-methylpropanal (canthoxal).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0"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chromen-2-one (coumarin), (4R)-1-methyl-4-prop-1-en-2-ylcyclohexene (dextro-limonene), 7hydroxy-3,7-dimethyloctanal (hydroxycitronellal), 3,7-dimethylocta-1,6-dien-3-yl acetate (linalyl acetate), 3,7dimethylocta-1,6-dien-3-ol (linalool), 3-(4-methoxyphenyl)-2-methylpropanal (canthoxal).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38" w:type="dxa"/>
        <w:tblInd w:w="-55" w:type="dxa"/>
        <w:tblLayout w:type="autofit"/>
        <w:tblCellMar>
          <w:top w:w="48" w:type="dxa"/>
          <w:left w:w="54" w:type="dxa"/>
          <w:bottom w:w="0" w:type="dxa"/>
          <w:right w:w="52" w:type="dxa"/>
        </w:tblCellMar>
      </w:tblPr>
      <w:tblGrid>
        <w:gridCol w:w="3489"/>
        <w:gridCol w:w="985"/>
        <w:gridCol w:w="774"/>
        <w:gridCol w:w="2980"/>
        <w:gridCol w:w="1310"/>
      </w:tblGrid>
      <w:tr>
        <w:tblPrEx>
          <w:tblCellMar>
            <w:top w:w="48" w:type="dxa"/>
            <w:left w:w="54" w:type="dxa"/>
            <w:bottom w:w="0" w:type="dxa"/>
            <w:right w:w="52" w:type="dxa"/>
          </w:tblCellMar>
        </w:tblPrEx>
        <w:trPr>
          <w:trHeight w:val="401" w:hRule="atLeast"/>
        </w:trPr>
        <w:tc>
          <w:tcPr>
            <w:tcW w:w="3489"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85"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4"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80"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0"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2" w:type="dxa"/>
          </w:tblCellMar>
        </w:tblPrEx>
        <w:trPr>
          <w:trHeight w:val="889" w:hRule="atLeast"/>
        </w:trPr>
        <w:tc>
          <w:tcPr>
            <w:tcW w:w="3489" w:type="dxa"/>
            <w:tcBorders>
              <w:top w:val="single" w:color="C0C0C0" w:sz="2" w:space="0"/>
              <w:left w:val="single" w:color="C0C0C0" w:sz="2" w:space="0"/>
              <w:bottom w:val="sing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85"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5989-27-5</w:t>
            </w:r>
          </w:p>
        </w:tc>
        <w:tc>
          <w:tcPr>
            <w:tcW w:w="774"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227-813-5</w:t>
            </w:r>
          </w:p>
        </w:tc>
        <w:tc>
          <w:tcPr>
            <w:tcW w:w="2980" w:type="dxa"/>
            <w:tcBorders>
              <w:top w:val="sing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0"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52" w:type="dxa"/>
          </w:tblCellMar>
        </w:tblPrEx>
        <w:trPr>
          <w:trHeight w:val="708" w:hRule="atLeast"/>
        </w:trPr>
        <w:tc>
          <w:tcPr>
            <w:tcW w:w="3489" w:type="dxa"/>
            <w:tcBorders>
              <w:top w:val="single" w:color="C0C0C0" w:sz="2" w:space="0"/>
              <w:left w:val="single" w:color="C0C0C0" w:sz="2" w:space="0"/>
              <w:bottom w:val="double" w:color="C0C0C0" w:sz="2" w:space="0"/>
              <w:right w:val="single" w:color="C0C0C0" w:sz="4" w:space="0"/>
            </w:tcBorders>
          </w:tcPr>
          <w:p>
            <w:pPr>
              <w:spacing w:after="0" w:line="259" w:lineRule="auto"/>
              <w:ind w:left="0" w:firstLine="0"/>
            </w:pPr>
            <w:r>
              <w:rPr>
                <w:sz w:val="16"/>
              </w:rPr>
              <w:t>1,3,4,6,7,8-hexahydro-4,6,6,7,8,8-hexamethylcy</w:t>
            </w:r>
            <w:r>
              <w:rPr>
                <w:rFonts w:hint="default"/>
                <w:sz w:val="16"/>
                <w:lang w:val="fr-FR"/>
              </w:rPr>
              <w:t>-</w:t>
            </w:r>
            <w:r>
              <w:rPr>
                <w:sz w:val="16"/>
              </w:rPr>
              <w:t>clopenta(g)-2-benzopyran (galaxolide)   (No REACH : 01-2119488227-29-0000)</w:t>
            </w:r>
          </w:p>
        </w:tc>
        <w:tc>
          <w:tcPr>
            <w:tcW w:w="985"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1222-05-5</w:t>
            </w:r>
          </w:p>
        </w:tc>
        <w:tc>
          <w:tcPr>
            <w:tcW w:w="774"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214-946-9</w:t>
            </w:r>
          </w:p>
        </w:tc>
        <w:tc>
          <w:tcPr>
            <w:tcW w:w="2980"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Acute 1, Aquatic Chronic 1 -</w:t>
            </w:r>
          </w:p>
          <w:p>
            <w:pPr>
              <w:spacing w:after="0" w:line="259" w:lineRule="auto"/>
              <w:ind w:left="2" w:firstLine="0"/>
              <w:jc w:val="left"/>
            </w:pPr>
            <w:r>
              <w:rPr>
                <w:sz w:val="16"/>
              </w:rPr>
              <w:t>H410</w:t>
            </w:r>
          </w:p>
        </w:tc>
        <w:tc>
          <w:tcPr>
            <w:tcW w:w="1310"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727"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1-(3,5,5,6,8,8-hexamethyl-6,7-dihydronaphthale n-2-yl)ethanone (fixolide)   (No REACH :</w:t>
            </w:r>
          </w:p>
          <w:p>
            <w:pPr>
              <w:spacing w:after="0" w:line="259" w:lineRule="auto"/>
              <w:ind w:left="0" w:firstLine="0"/>
              <w:jc w:val="left"/>
            </w:pPr>
            <w:r>
              <w:rPr>
                <w:sz w:val="16"/>
              </w:rPr>
              <w:t>01-2119539433-40-0000)</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1506-02-1</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216-133-4</w:t>
            </w:r>
          </w:p>
        </w:tc>
        <w:tc>
          <w:tcPr>
            <w:tcW w:w="2980"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pPr>
            <w:r>
              <w:rPr>
                <w:sz w:val="16"/>
              </w:rPr>
              <w:t>Acute Tox. 4, Aquatic Acute 1, Aquatic Chronic 1 - H302, H410</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548"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78-70-6</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80"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727"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3,7-dimethylocta-1,6-dien-3-yl acetate (linalyl acetate)   (No REACH : 01-2119454789-19-XXXX)</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115-95-7</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9" w:firstLine="0"/>
              <w:jc w:val="left"/>
            </w:pPr>
            <w:r>
              <w:rPr>
                <w:sz w:val="14"/>
              </w:rPr>
              <w:t>204-116-4</w:t>
            </w:r>
          </w:p>
        </w:tc>
        <w:tc>
          <w:tcPr>
            <w:tcW w:w="2980"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Irrit. 2, Skin Sens. 1B H315, H317, H319</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728"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3-(4-methoxyphenyl)-2-methylpropanal (canthoxal)   (No REACH :</w:t>
            </w:r>
          </w:p>
          <w:p>
            <w:pPr>
              <w:spacing w:after="0" w:line="259" w:lineRule="auto"/>
              <w:ind w:left="0" w:firstLine="0"/>
              <w:jc w:val="left"/>
            </w:pPr>
            <w:r>
              <w:rPr>
                <w:sz w:val="16"/>
              </w:rPr>
              <w:t>01-2120629103-67-0000)</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5462-06-6</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226-749-5</w:t>
            </w:r>
          </w:p>
        </w:tc>
        <w:tc>
          <w:tcPr>
            <w:tcW w:w="2980"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Skin Sens. 1B - H317</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727"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7-hydroxy-3,7-dimethyloctanal</w:t>
            </w:r>
          </w:p>
          <w:p>
            <w:pPr>
              <w:spacing w:after="0" w:line="259" w:lineRule="auto"/>
              <w:ind w:left="0" w:firstLine="0"/>
              <w:jc w:val="left"/>
            </w:pPr>
            <w:r>
              <w:rPr>
                <w:sz w:val="16"/>
              </w:rPr>
              <w:t>(hydroxycitronellal)   (No REACH :</w:t>
            </w:r>
          </w:p>
          <w:p>
            <w:pPr>
              <w:spacing w:after="0" w:line="259" w:lineRule="auto"/>
              <w:ind w:left="0" w:firstLine="0"/>
              <w:jc w:val="left"/>
            </w:pPr>
            <w:r>
              <w:rPr>
                <w:sz w:val="16"/>
              </w:rPr>
              <w:t>01-2119973482-31-XXXX)</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107-75-5</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203-518-7</w:t>
            </w:r>
          </w:p>
        </w:tc>
        <w:tc>
          <w:tcPr>
            <w:tcW w:w="2980"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Sens. 1B - H317, H319</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539"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chromen-2-one (coumarin)   (No REACH : 01-2119943756-26-XXXX)</w:t>
            </w: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91-64-5</w:t>
            </w: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202-086-7</w:t>
            </w:r>
          </w:p>
        </w:tc>
        <w:tc>
          <w:tcPr>
            <w:tcW w:w="2980"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4, Skin Sens. 1B - H302, H317</w:t>
            </w: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539" w:hRule="atLeast"/>
        </w:trPr>
        <w:tc>
          <w:tcPr>
            <w:tcW w:w="3489"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rPr>
                <w:sz w:val="16"/>
              </w:rPr>
            </w:pPr>
          </w:p>
        </w:tc>
        <w:tc>
          <w:tcPr>
            <w:tcW w:w="985"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rPr>
                <w:sz w:val="14"/>
              </w:rPr>
            </w:pPr>
          </w:p>
        </w:tc>
        <w:tc>
          <w:tcPr>
            <w:tcW w:w="774"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rPr>
                <w:sz w:val="14"/>
              </w:rPr>
            </w:pPr>
          </w:p>
        </w:tc>
        <w:tc>
          <w:tcPr>
            <w:tcW w:w="2980"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rPr>
                <w:sz w:val="16"/>
              </w:rPr>
            </w:pPr>
          </w:p>
        </w:tc>
        <w:tc>
          <w:tcPr>
            <w:tcW w:w="1310"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rPr>
                <w:sz w:val="16"/>
              </w:rPr>
            </w:pPr>
          </w:p>
        </w:tc>
      </w:tr>
      <w:tr>
        <w:tblPrEx>
          <w:tblCellMar>
            <w:top w:w="48" w:type="dxa"/>
            <w:left w:w="54" w:type="dxa"/>
            <w:bottom w:w="0" w:type="dxa"/>
            <w:right w:w="52" w:type="dxa"/>
          </w:tblCellMar>
        </w:tblPrEx>
        <w:trPr>
          <w:trHeight w:val="544" w:hRule="atLeast"/>
        </w:trPr>
        <w:tc>
          <w:tcPr>
            <w:tcW w:w="3489"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rPr>
                <w:sz w:val="16"/>
              </w:rPr>
            </w:pPr>
          </w:p>
        </w:tc>
        <w:tc>
          <w:tcPr>
            <w:tcW w:w="985"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center"/>
              <w:rPr>
                <w:sz w:val="14"/>
              </w:rPr>
            </w:pPr>
          </w:p>
        </w:tc>
        <w:tc>
          <w:tcPr>
            <w:tcW w:w="774"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rPr>
                <w:sz w:val="14"/>
              </w:rPr>
            </w:pPr>
          </w:p>
        </w:tc>
        <w:tc>
          <w:tcPr>
            <w:tcW w:w="2980" w:type="dxa"/>
            <w:tcBorders>
              <w:top w:val="double" w:color="C0C0C0" w:sz="2" w:space="0"/>
              <w:left w:val="single" w:color="C0C0C0" w:sz="4" w:space="0"/>
              <w:bottom w:val="single" w:color="C0C0C0" w:sz="2" w:space="0"/>
              <w:right w:val="single" w:color="C0C0C0" w:sz="4" w:space="0"/>
            </w:tcBorders>
          </w:tcPr>
          <w:p>
            <w:pPr>
              <w:spacing w:after="0" w:line="259" w:lineRule="auto"/>
              <w:ind w:left="2" w:firstLine="0"/>
              <w:jc w:val="left"/>
              <w:rPr>
                <w:sz w:val="16"/>
              </w:rPr>
            </w:pPr>
          </w:p>
        </w:tc>
        <w:tc>
          <w:tcPr>
            <w:tcW w:w="1310"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8" w:firstLine="0"/>
              <w:jc w:val="center"/>
              <w:rPr>
                <w:sz w:val="16"/>
              </w:rPr>
            </w:pPr>
          </w:p>
        </w:tc>
      </w:tr>
    </w:tbl>
    <w:p>
      <w:pPr>
        <w:spacing w:after="957"/>
        <w:ind w:left="-5" w:right="67"/>
      </w:pPr>
      <w:r>
        <w:t>COMPOSITION : Mélange de matiéres premières aromatiques.</w:t>
      </w:r>
    </w:p>
    <w:p>
      <w:pPr>
        <w:pStyle w:val="3"/>
        <w:ind w:left="-5"/>
      </w:pPr>
      <w:r>
        <w:t>4: PREMIERS SECOURS</w:t>
      </w:r>
    </w:p>
    <w:p>
      <w:pPr>
        <w:spacing w:after="153"/>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ind w:right="67"/>
      </w:pPr>
      <w:r>
        <w:t>4.2. Principaux symptômes et effets, aigus et différés</w:t>
      </w:r>
    </w:p>
    <w:p>
      <w:pPr>
        <w:spacing w:after="916"/>
        <w:ind w:left="-5" w:right="67"/>
      </w:pPr>
      <w:r>
        <w:t>Tenir compte des phrases de risques et de sécurité.</w:t>
      </w:r>
    </w:p>
    <w:p>
      <w:pPr>
        <w:spacing w:after="156"/>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3"/>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15"/>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bl>
    <w:p>
      <w:pPr>
        <w:spacing w:after="204" w:line="248" w:lineRule="auto"/>
        <w:ind w:left="-5"/>
        <w:jc w:val="left"/>
      </w:pPr>
      <w:r>
        <w:rPr>
          <w:rFonts w:ascii="Tahoma" w:hAnsi="Tahoma" w:eastAsia="Tahoma" w:cs="Tahoma"/>
          <w:sz w:val="18"/>
        </w:rPr>
        <w:t>Caractéristiques des particules :</w:t>
      </w:r>
    </w:p>
    <w:p>
      <w:pPr>
        <w:spacing w:after="156"/>
        <w:ind w:right="67"/>
      </w:pPr>
      <w:r>
        <w:t>9.2. Autres informations</w:t>
      </w:r>
    </w:p>
    <w:p>
      <w:pPr>
        <w:spacing w:after="108" w:line="248" w:lineRule="auto"/>
        <w:ind w:left="-5"/>
        <w:jc w:val="left"/>
      </w:pPr>
      <w:r>
        <w:rPr>
          <w:rFonts w:ascii="Tahoma" w:hAnsi="Tahoma" w:eastAsia="Tahoma" w:cs="Tahoma"/>
          <w:sz w:val="18"/>
        </w:rPr>
        <w:t>Indice de réfraction (@20°C) :</w:t>
      </w:r>
    </w:p>
    <w:p>
      <w:pPr>
        <w:spacing w:after="171" w:line="244" w:lineRule="auto"/>
        <w:ind w:left="3096" w:hanging="3096"/>
        <w:jc w:val="left"/>
      </w:pPr>
      <w:r>
        <w:rPr>
          <w:rFonts w:ascii="Tahoma" w:hAnsi="Tahoma" w:eastAsia="Tahoma" w:cs="Tahoma"/>
          <w:sz w:val="18"/>
        </w:rPr>
        <w:t>Conditions de stockage :</w:t>
      </w:r>
      <w:r>
        <w:rPr>
          <w:rFonts w:ascii="Tahoma" w:hAnsi="Tahoma" w:eastAsia="Tahoma" w:cs="Tahoma"/>
          <w:sz w:val="18"/>
        </w:rPr>
        <w:tab/>
      </w:r>
      <w:r>
        <w:rPr>
          <w:rFonts w:ascii="Tahoma" w:hAnsi="Tahoma" w:eastAsia="Tahoma" w:cs="Tahoma"/>
          <w:b/>
          <w:sz w:val="18"/>
        </w:rPr>
        <w:t>24 mois à faible température entre 15°C et 20°C dans un récipient fermé hermétiquement et à l'abri de la lumière.</w:t>
      </w:r>
    </w:p>
    <w:p>
      <w:pPr>
        <w:pStyle w:val="3"/>
        <w:ind w:left="-5"/>
      </w:pPr>
      <w:r>
        <w:t>10: STABILITE ET REACTIVITE</w:t>
      </w:r>
    </w:p>
    <w:p>
      <w:pPr>
        <w:spacing w:after="156"/>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2"/>
        <w:ind w:left="-5" w:right="67"/>
      </w:pPr>
      <w:r>
        <w:t>La substance est chimiquement stable dans les conditions recommandées de stockage, d'utilisation et de température.</w:t>
      </w:r>
    </w:p>
    <w:p>
      <w:pPr>
        <w:spacing w:after="153"/>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0" w:line="427"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22"/>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ind w:left="-5" w:right="67"/>
      </w:pPr>
      <w:r>
        <w:t>Ne pas laisser le produit, non dilué ou en grande quantité, pénétrer la nappe phréatique, les eaux superficielles ou les égouts.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23"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8814"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403" w:line="259" w:lineRule="auto"/>
              <w:ind w:left="0" w:firstLine="0"/>
              <w:jc w:val="left"/>
            </w:pPr>
            <w:r>
              <w:rPr>
                <w:sz w:val="16"/>
              </w:rPr>
              <w:t>Édité le :</w:t>
            </w:r>
            <w:r>
              <w:rPr>
                <w:sz w:val="16"/>
              </w:rPr>
              <w:tab/>
            </w:r>
            <w:r>
              <w:rPr>
                <w:sz w:val="16"/>
              </w:rPr>
              <w:t>02/02/2022</w:t>
            </w:r>
            <w:r>
              <w:rPr>
                <w:sz w:val="16"/>
              </w:rPr>
              <w:tab/>
            </w:r>
            <w:r>
              <w:rPr>
                <w:sz w:val="16"/>
              </w:rPr>
              <w:t>Archange 10%</w:t>
            </w:r>
          </w:p>
          <w:p>
            <w:pPr>
              <w:spacing w:after="540" w:line="427" w:lineRule="auto"/>
              <w:ind w:left="56" w:right="2478" w:firstLine="737"/>
              <w:jc w:val="left"/>
            </w:pPr>
            <w:r>
              <w:t>12.2. Persistance et dégradabilité Pas de données à ce jour.</w:t>
            </w:r>
          </w:p>
          <w:p>
            <w:pPr>
              <w:spacing w:after="542" w:line="427" w:lineRule="auto"/>
              <w:ind w:left="56" w:right="2389" w:firstLine="737"/>
              <w:jc w:val="left"/>
            </w:pPr>
            <w:r>
              <w:t>12.3. Potentiel de bioaccumulation Pas de données à ce jour.</w:t>
            </w:r>
          </w:p>
          <w:p>
            <w:pPr>
              <w:spacing w:after="542" w:line="427" w:lineRule="auto"/>
              <w:ind w:left="56" w:right="3243" w:firstLine="737"/>
              <w:jc w:val="left"/>
            </w:pPr>
            <w:r>
              <w:t>12.4. Mobilité dans le sol 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02/02/2022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ind w:left="-5" w:right="67"/>
      </w:pPr>
      <w:r>
        <w:t>Le rejet dans l'environnement ou le réseau d'égouts est interdit. Elles doivent être traitées comme des déchets dangereux.</w:t>
      </w:r>
    </w:p>
    <w:p>
      <w:pPr>
        <w:ind w:left="-5" w:right="67"/>
      </w:pPr>
      <w:r>
        <w:t>13.1.4 Autres recommandations d'élimination:</w:t>
      </w:r>
    </w:p>
    <w:p>
      <w:pPr>
        <w:spacing w:after="777"/>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3"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79"/>
        <w:ind w:left="-5" w:right="67"/>
      </w:pPr>
      <w:r>
        <w:t>NON REGLEMENTE</w:t>
      </w:r>
    </w:p>
    <w:p>
      <w:pPr>
        <w:spacing w:after="136"/>
        <w:ind w:right="67"/>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5"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5" w:line="250"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5"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0"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0"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325"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2679"/>
        </w:tabs>
        <w:spacing w:after="88"/>
        <w:ind w:left="-15" w:firstLine="0"/>
        <w:jc w:val="left"/>
      </w:pPr>
      <w:r>
        <w:rPr>
          <w:sz w:val="18"/>
        </w:rPr>
        <w:t>H302</w:t>
      </w:r>
      <w:r>
        <w:rPr>
          <w:sz w:val="18"/>
        </w:rPr>
        <w:tab/>
      </w:r>
      <w:r>
        <w:rPr>
          <w:sz w:val="18"/>
        </w:rPr>
        <w:t>Nocif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91"/>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21"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Archange 10%</w:t>
    </w:r>
    <w:r>
      <w:rPr>
        <w:sz w:val="16"/>
      </w:rPr>
      <w:tab/>
    </w:r>
    <w:r>
      <w:rPr>
        <w:sz w:val="16"/>
      </w:rPr>
      <w:t>Révision : 001NEW-1-CLP du 02/02/2022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Archange 10%</w:t>
    </w:r>
    <w:r>
      <w:rPr>
        <w:sz w:val="16"/>
      </w:rPr>
      <w:tab/>
    </w:r>
    <w:r>
      <w:rPr>
        <w:sz w:val="16"/>
      </w:rPr>
      <w:t>Révision : 001NEW-1-CLP du 02/02/2022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Archange 10%</w:t>
    </w:r>
    <w:r>
      <w:rPr>
        <w:sz w:val="16"/>
      </w:rPr>
      <w:tab/>
    </w:r>
    <w:r>
      <w:rPr>
        <w:sz w:val="16"/>
      </w:rPr>
      <w:t>Révision : 001NEW-1-CLP du 02/02/2022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Archange 10%</w:t>
    </w:r>
    <w:r>
      <w:rPr>
        <w:sz w:val="16"/>
      </w:rPr>
      <w:tab/>
    </w:r>
    <w:r>
      <w:rPr>
        <w:sz w:val="16"/>
      </w:rPr>
      <w:t>Révision : 001NEW-1-CLP du 02/02/2022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F1199"/>
    <w:multiLevelType w:val="multilevel"/>
    <w:tmpl w:val="253F1199"/>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F690E4C"/>
    <w:multiLevelType w:val="multilevel"/>
    <w:tmpl w:val="5F690E4C"/>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C913C1C"/>
    <w:multiLevelType w:val="multilevel"/>
    <w:tmpl w:val="6C913C1C"/>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DD"/>
    <w:rsid w:val="000546DD"/>
    <w:rsid w:val="00D248B0"/>
    <w:rsid w:val="2D807923"/>
    <w:rsid w:val="347C33CF"/>
    <w:rsid w:val="34B00FEE"/>
    <w:rsid w:val="7E99150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3152</Words>
  <Characters>17336</Characters>
  <Lines>144</Lines>
  <Paragraphs>40</Paragraphs>
  <TotalTime>0</TotalTime>
  <ScaleCrop>false</ScaleCrop>
  <LinksUpToDate>false</LinksUpToDate>
  <CharactersWithSpaces>20448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2022-02-02T12:43:00Z</dcterms:created>
  <dc:creator>Loic</dc:creator>
  <cp:lastModifiedBy>Laetitia Castro</cp:lastModifiedBy>
  <cp:lastPrinted>2022-02-11T16:10:00Z</cp:lastPrinted>
  <dcterms:modified xsi:type="dcterms:W3CDTF">2024-02-08T09:42:14Z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0E6F30ED3D4E407CB490B07A6C016049</vt:lpwstr>
  </property>
</Properties>
</file>