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rPr>
          <w:rFonts w:hint="default"/>
          <w:lang w:val="fr-FR"/>
        </w:rPr>
      </w:pPr>
      <w:r>
        <w:rPr>
          <w:b/>
          <w:sz w:val="36"/>
        </w:rPr>
        <w:t xml:space="preserve">Fiche de données de </w:t>
      </w:r>
      <w:r>
        <w:rPr>
          <w:b/>
          <w:sz w:val="36"/>
          <w:lang w:val="fr-FR"/>
        </w:rPr>
        <w:t>sécurité</w:t>
      </w:r>
    </w:p>
    <w:p>
      <w:pPr>
        <w:tabs>
          <w:tab w:val="center" w:pos="1779"/>
          <w:tab w:val="right" w:pos="9539"/>
        </w:tabs>
        <w:spacing w:after="370" w:line="259" w:lineRule="auto"/>
        <w:ind w:left="0" w:firstLine="0"/>
        <w:jc w:val="left"/>
      </w:pPr>
      <w:r>
        <w:rPr>
          <w:sz w:val="16"/>
        </w:rPr>
        <w:t>Édité le :</w:t>
      </w:r>
      <w:r>
        <w:rPr>
          <w:sz w:val="16"/>
        </w:rPr>
        <w:tab/>
      </w:r>
      <w:r>
        <w:rPr>
          <w:sz w:val="16"/>
        </w:rPr>
        <w:t>15/02/2022</w:t>
      </w:r>
      <w:r>
        <w:rPr>
          <w:sz w:val="16"/>
        </w:rPr>
        <w:tab/>
      </w:r>
      <w:r>
        <w:rPr>
          <w:sz w:val="16"/>
        </w:rPr>
        <w:t>Révision : 001NEW-1-CLP du 15/02/2022</w:t>
      </w:r>
    </w:p>
    <w:p>
      <w:pPr>
        <w:pStyle w:val="2"/>
      </w:pPr>
      <w:r>
        <w:t>Invincible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Invincible 10%</w:t>
      </w:r>
    </w:p>
    <w:p>
      <w:pPr>
        <w:spacing w:after="701"/>
        <w:ind w:left="-5"/>
        <w:jc w:val="left"/>
      </w:pPr>
      <w:r>
        <w:rPr>
          <w:sz w:val="18"/>
        </w:rPr>
        <w:t>U.F.I.   : NON</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rPr>
          <w:sz w:val="18"/>
        </w:rPr>
      </w:pPr>
      <w:bookmarkStart w:id="0" w:name="_GoBack"/>
      <w:bookmarkEnd w:id="0"/>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7" w:line="251" w:lineRule="auto"/>
        <w:ind w:left="-5"/>
        <w:jc w:val="left"/>
      </w:pPr>
      <w:r>
        <w:rPr>
          <w:rFonts w:ascii="Microsoft Sans Serif" w:hAnsi="Microsoft Sans Serif" w:eastAsia="Microsoft Sans Serif" w:cs="Microsoft Sans Serif"/>
          <w:sz w:val="17"/>
        </w:rPr>
        <w:t>EUH208 - Contient benzyl 2-hydroxybenzoate (benzyl salicylate), chromen-2-one (coumarin), (4R)-1-methyl-4-prop-1-en-2ylcyclohexene (dextro-limonene), 1,1,2,3,3-pentamethyl-2,5,6,7-tetrahydroinden-4-one (cashmeran), (6E)-3,7-dimethylnona1,6-dien-3-ol (ethyl linalool), 3,7-dimethylocta-1,6-dien-3-yl acetate (linalyl acetate), 3,7-dimethylocta-1,6-dien-3-ol (linalool), reaction mass of 1-(1,2,3,4,5,6,7,8 and 1-(1,2,3,4,6,7,8,8a and 1-(1,2,3,5,6,7,8,8a-octahydro-2,3,8,8-tetramethyl-2-naphthyl) ethan-1-one (iso e super).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520" w:line="251" w:lineRule="auto"/>
        <w:ind w:left="-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8" w:line="248" w:lineRule="auto"/>
        <w:ind w:left="-5"/>
        <w:jc w:val="left"/>
      </w:pPr>
      <w:r>
        <w:rPr>
          <w:rFonts w:ascii="Tahoma" w:hAnsi="Tahoma" w:eastAsia="Tahoma" w:cs="Tahoma"/>
          <w:sz w:val="18"/>
        </w:rPr>
        <w:t>EUH208 - Contient benzyl 2-hydroxybenzoate (benzyl salicylate), chromen-2-one (coumarin), (4R)-1-methyl-4-prop-1en-2-ylcyclohexene (dextro-limonene), 1,1,2,3,3-pentamethyl-2,5,6,7-tetrahydroinden-4-one (cashmeran), (6E)-3,7dimethylnona-1,6-dien-3-ol (ethyl linalool), 3,7-dimethylocta-1,6-dien-3-yl acetate (linalyl acetate), 3,7-dimethylocta1,6-dien-3-ol (linalool), reaction mass of 1-(1,2,3,4,5,6,7,8 and 1-(1,2,3,4,6,7,8,8a and 1-(1,2,3,5,6,7,8,8a-octahydro2,3,8,8-tetramethyl-2-naphthyl)ethan-1-one (iso e super).  Peut produire une réaction allergique</w:t>
      </w:r>
    </w:p>
    <w:p>
      <w:pPr>
        <w:spacing w:after="156"/>
        <w:ind w:right="14"/>
      </w:pPr>
      <w:r>
        <w:t>2.3. Autres dangers</w:t>
      </w:r>
    </w:p>
    <w:p>
      <w:pPr>
        <w:spacing w:after="784"/>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48" w:type="dxa"/>
          <w:left w:w="54" w:type="dxa"/>
          <w:bottom w:w="0" w:type="dxa"/>
          <w:right w:w="52" w:type="dxa"/>
        </w:tblCellMar>
      </w:tblPr>
      <w:tblGrid>
        <w:gridCol w:w="3510"/>
        <w:gridCol w:w="991"/>
        <w:gridCol w:w="779"/>
        <w:gridCol w:w="2998"/>
        <w:gridCol w:w="1318"/>
      </w:tblGrid>
      <w:tr>
        <w:tblPrEx>
          <w:tblCellMar>
            <w:top w:w="48" w:type="dxa"/>
            <w:left w:w="54" w:type="dxa"/>
            <w:bottom w:w="0" w:type="dxa"/>
            <w:right w:w="52"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2" w:type="dxa"/>
          </w:tblCellMar>
        </w:tblPrEx>
        <w:trPr>
          <w:trHeight w:val="476"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(3E)-oxacyclohexadec-3-en-2-one (globalide</w:t>
            </w:r>
          </w:p>
          <w:p>
            <w:pPr>
              <w:spacing w:after="0" w:line="259" w:lineRule="auto"/>
              <w:ind w:left="1" w:firstLine="0"/>
              <w:jc w:val="left"/>
            </w:pPr>
            <w:r>
              <w:rPr>
                <w:sz w:val="16"/>
              </w:rPr>
              <w:t>100)   (No REACH : 01-0000016883-62-0000)</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34902-57-3</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422-320-3</w:t>
            </w:r>
          </w:p>
        </w:tc>
        <w:tc>
          <w:tcPr>
            <w:tcW w:w="2998" w:type="dxa"/>
            <w:tcBorders>
              <w:top w:val="single" w:color="C0C0C0" w:sz="2" w:space="0"/>
              <w:left w:val="single" w:color="C0C0C0" w:sz="4" w:space="0"/>
              <w:bottom w:val="single" w:color="C0C0C0" w:sz="2" w:space="0"/>
              <w:right w:val="single" w:color="C0C0C0" w:sz="4" w:space="0"/>
            </w:tcBorders>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52" w:type="dxa"/>
          </w:tblCellMar>
        </w:tblPrEx>
        <w:trPr>
          <w:trHeight w:val="838"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0" w:firstLine="0"/>
              <w:jc w:val="left"/>
            </w:pPr>
            <w:r>
              <w:rPr>
                <w:sz w:val="16"/>
              </w:rPr>
              <w:t>(4R)-1-methyl-4-prop-1-en-2-ylcyclohexene (dextro-limonene)   (No REACH :</w:t>
            </w:r>
          </w:p>
          <w:p>
            <w:pPr>
              <w:spacing w:after="0" w:line="259" w:lineRule="auto"/>
              <w:ind w:left="0"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Asp. Tox. 1, Eye Irrit. 2, Aquatic Acute 1,</w:t>
            </w:r>
          </w:p>
          <w:p>
            <w:pPr>
              <w:spacing w:after="0" w:line="259" w:lineRule="auto"/>
              <w:ind w:left="2" w:firstLine="0"/>
              <w:jc w:val="left"/>
            </w:pPr>
            <w:r>
              <w:rPr>
                <w:sz w:val="16"/>
              </w:rPr>
              <w:t>Aquatic Chronic 3, Flam. Liq. 3, Skin</w:t>
            </w:r>
          </w:p>
          <w:p>
            <w:pPr>
              <w:spacing w:after="0" w:line="259" w:lineRule="auto"/>
              <w:ind w:left="2" w:firstLine="0"/>
              <w:jc w:val="left"/>
            </w:pPr>
            <w:r>
              <w:rPr>
                <w:sz w:val="16"/>
              </w:rPr>
              <w:t>Irrit. 2, Skin Sens. 1 - H226, H304,</w:t>
            </w:r>
          </w:p>
          <w:p>
            <w:pPr>
              <w:spacing w:after="0" w:line="259" w:lineRule="auto"/>
              <w:ind w:left="2"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(6E)-3,7-dimethylnona-1,6-dien-3-ol (ethyl linalool)   (No REACH :</w:t>
            </w:r>
          </w:p>
          <w:p>
            <w:pPr>
              <w:spacing w:after="0" w:line="259" w:lineRule="auto"/>
              <w:ind w:left="0" w:firstLine="0"/>
              <w:jc w:val="left"/>
            </w:pPr>
            <w:r>
              <w:rPr>
                <w:sz w:val="16"/>
              </w:rPr>
              <w:t>01-2119969272-32-XXXX)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10339-55-6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233-732-6</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Sens. 1B -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1,1,2,3,3-pentamethyl-2,5,6,7-tetrahydroinden4-one (cashmeran)   (No REACH :</w:t>
            </w:r>
          </w:p>
          <w:p>
            <w:pPr>
              <w:spacing w:after="0" w:line="259" w:lineRule="auto"/>
              <w:ind w:left="0" w:firstLine="0"/>
              <w:jc w:val="left"/>
            </w:pPr>
            <w:r>
              <w:rPr>
                <w:sz w:val="16"/>
              </w:rPr>
              <w:t>01-2119977131-40-0000)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33704-61-9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251-649-3</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Aquatic Chronic 2, Skin Irrit.</w:t>
            </w:r>
          </w:p>
          <w:p>
            <w:pPr>
              <w:spacing w:after="0" w:line="259" w:lineRule="auto"/>
              <w:ind w:left="2" w:firstLine="0"/>
              <w:jc w:val="left"/>
            </w:pPr>
            <w:r>
              <w:rPr>
                <w:sz w:val="16"/>
              </w:rPr>
              <w:t>2, Skin Sens. 1B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Acute 1, Aquatic Chronic 1 -</w:t>
            </w:r>
          </w:p>
          <w:p>
            <w:pPr>
              <w:spacing w:after="0" w:line="259" w:lineRule="auto"/>
              <w:ind w:left="2"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9"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3-(1,3-benzodioxol-5-yl)-2-methylpropanal (helional) (Repr. 2)   (No REACH :</w:t>
            </w:r>
          </w:p>
          <w:p>
            <w:pPr>
              <w:spacing w:after="0" w:line="259" w:lineRule="auto"/>
              <w:ind w:left="0" w:firstLine="0"/>
              <w:jc w:val="left"/>
            </w:pPr>
            <w:r>
              <w:rPr>
                <w:sz w:val="16"/>
              </w:rPr>
              <w:t>01-2120740119-58-0000)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1205-17-0</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214-881-6</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Chronic 2, Repr. 2, Skin Sens. 1B - H317, H361,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benzyl 2-hydroxybenzoate (benzyl salicylate) (No REACH : 01-2119969442-31-XXXX)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118-58-1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204-262-9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Aquatic Chronic 3, Skin Sens. 1B -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chromen-2-one (coumarin)   (No REACH : 01-2119943756-26-XXXX)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center"/>
            </w:pPr>
            <w:r>
              <w:rPr>
                <w:sz w:val="14"/>
              </w:rPr>
              <w:t>91-64-5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202-086-7</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4, Skin Sens. 1B - H302, H317</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8" w:firstLine="0"/>
              <w:jc w:val="center"/>
            </w:pPr>
            <w:r>
              <w:rPr>
                <w:sz w:val="16"/>
              </w:rPr>
              <w:t>[ 0-5 ]</w:t>
            </w:r>
          </w:p>
        </w:tc>
      </w:tr>
      <w:tr>
        <w:tblPrEx>
          <w:tblCellMar>
            <w:top w:w="48" w:type="dxa"/>
            <w:left w:w="54" w:type="dxa"/>
            <w:bottom w:w="0" w:type="dxa"/>
            <w:right w:w="52" w:type="dxa"/>
          </w:tblCellMar>
        </w:tblPrEx>
        <w:trPr>
          <w:trHeight w:val="101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 1-(1,2,3,4,5,6,7,8 and</w:t>
            </w:r>
          </w:p>
          <w:p>
            <w:pPr>
              <w:spacing w:after="0" w:line="259" w:lineRule="auto"/>
              <w:ind w:left="0" w:firstLine="0"/>
              <w:jc w:val="left"/>
            </w:pPr>
            <w:r>
              <w:rPr>
                <w:sz w:val="16"/>
              </w:rPr>
              <w:t>1-(1,2,3,4,6,7,8,8a and</w:t>
            </w:r>
          </w:p>
          <w:p>
            <w:pPr>
              <w:spacing w:after="0" w:line="259" w:lineRule="auto"/>
              <w:ind w:left="0" w:firstLine="0"/>
              <w:jc w:val="left"/>
            </w:pPr>
            <w:r>
              <w:rPr>
                <w:sz w:val="16"/>
              </w:rPr>
              <w:t>1-(1,2,3,5,6,7,8,8a-octahydro-2,3,8,8-tetrameth</w:t>
            </w:r>
          </w:p>
          <w:p>
            <w:pPr>
              <w:spacing w:after="0" w:line="259" w:lineRule="auto"/>
              <w:ind w:left="0" w:firstLine="0"/>
              <w:jc w:val="left"/>
            </w:pPr>
            <w:r>
              <w:rPr>
                <w:sz w:val="16"/>
              </w:rPr>
              <w:t>yl-2-naphthyl)ethan-1-one (iso e super)   (No</w:t>
            </w:r>
          </w:p>
          <w:p>
            <w:pPr>
              <w:spacing w:after="0" w:line="259" w:lineRule="auto"/>
              <w:ind w:left="0"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center"/>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8"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6"/>
        <w:ind w:right="14"/>
      </w:pPr>
      <w:r>
        <w:t>5.3. Conseils aux pompiers</w:t>
      </w:r>
    </w:p>
    <w:p>
      <w:pPr>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100"/>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0"/>
        <w:ind w:left="-5" w:right="6682"/>
      </w:pPr>
      <w:r>
        <w:t>6.3.3. Autre information: Aucune.</w:t>
      </w:r>
    </w:p>
    <w:p>
      <w:pPr>
        <w:spacing w:after="156"/>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3"/>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3"/>
        <w:ind w:right="14"/>
      </w:pPr>
      <w:r>
        <w:t>7.3. Utilisation(s) finale(s) particulière(s)</w:t>
      </w:r>
    </w:p>
    <w:p>
      <w:pPr>
        <w:spacing w:after="763"/>
        <w:ind w:left="-5" w:right="14"/>
      </w:pPr>
      <w:r>
        <w:t>Recommandations: respecter les instructions d'utilisation.</w:t>
      </w:r>
    </w:p>
    <w:p>
      <w:pPr>
        <w:pStyle w:val="3"/>
        <w:spacing w:after="122"/>
        <w:ind w:left="-5"/>
      </w:pPr>
      <w:r>
        <w:t>8: CONTROLES DE L'EXPOSITION/PROTECTION INDIVIDUELLE</w:t>
      </w:r>
    </w:p>
    <w:p>
      <w:pPr>
        <w:spacing w:after="718"/>
        <w:ind w:left="-5"/>
        <w:jc w:val="left"/>
      </w:pPr>
      <w:r>
        <w:rPr>
          <w:sz w:val="18"/>
        </w:rPr>
        <w:t>Des examens de médecine préventive du travail sont à effectuer.</w:t>
      </w:r>
    </w:p>
    <w:p>
      <w:pPr>
        <w:ind w:right="14"/>
      </w:pPr>
      <w:r>
        <w:t>8.1. Paramètres de contrôle</w:t>
      </w:r>
    </w:p>
    <w:p>
      <w:pPr>
        <w:spacing w:after="696"/>
        <w:ind w:left="-5" w:right="14"/>
      </w:pPr>
      <w:r>
        <w:t>Pas de données à ce jour.</w:t>
      </w:r>
    </w:p>
    <w:p>
      <w:pPr>
        <w:spacing w:after="139"/>
        <w:ind w:right="14"/>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84"/>
        <w:ind w:left="-5" w:right="1925"/>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14"/>
      </w:pPr>
      <w:r>
        <w:t>9.1. Informations sur les propriétés physiques et chimiques essentielles</w:t>
      </w:r>
    </w:p>
    <w:tbl>
      <w:tblPr>
        <w:tblStyle w:val="8"/>
        <w:tblW w:w="4624" w:type="dxa"/>
        <w:tblInd w:w="0" w:type="dxa"/>
        <w:tblLayout w:type="autofit"/>
        <w:tblCellMar>
          <w:top w:w="0" w:type="dxa"/>
          <w:left w:w="0" w:type="dxa"/>
          <w:bottom w:w="0" w:type="dxa"/>
          <w:right w:w="0" w:type="dxa"/>
        </w:tblCellMar>
      </w:tblPr>
      <w:tblGrid>
        <w:gridCol w:w="3096"/>
        <w:gridCol w:w="1528"/>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Viscosité cinématique (mm²/s)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w:t>
            </w:r>
          </w:p>
        </w:tc>
      </w:tr>
    </w:tbl>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87" w:left="1190" w:header="720" w:footer="639" w:gutter="0"/>
          <w:cols w:space="720" w:num="1"/>
          <w:titlePg/>
        </w:sectPr>
      </w:pPr>
    </w:p>
    <w:tbl>
      <w:tblPr>
        <w:tblStyle w:val="8"/>
        <w:tblW w:w="9640" w:type="dxa"/>
        <w:tblInd w:w="-56" w:type="dxa"/>
        <w:tblLayout w:type="autofit"/>
        <w:tblCellMar>
          <w:top w:w="48" w:type="dxa"/>
          <w:left w:w="0" w:type="dxa"/>
          <w:bottom w:w="53" w:type="dxa"/>
          <w:right w:w="0" w:type="dxa"/>
        </w:tblCellMar>
      </w:tblPr>
      <w:tblGrid>
        <w:gridCol w:w="3152"/>
        <w:gridCol w:w="3463"/>
        <w:gridCol w:w="3025"/>
      </w:tblGrid>
      <w:tr>
        <w:tblPrEx>
          <w:tblCellMar>
            <w:top w:w="48" w:type="dxa"/>
            <w:left w:w="0" w:type="dxa"/>
            <w:bottom w:w="53"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8" w:type="dxa"/>
            <w:left w:w="0" w:type="dxa"/>
            <w:bottom w:w="53"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15/02/2022</w:t>
            </w:r>
          </w:p>
        </w:tc>
        <w:tc>
          <w:tcPr>
            <w:tcW w:w="3463" w:type="dxa"/>
            <w:tcBorders>
              <w:top w:val="single" w:color="7F7F7F" w:sz="2" w:space="0"/>
              <w:left w:val="nil"/>
              <w:bottom w:val="nil"/>
              <w:right w:val="nil"/>
            </w:tcBorders>
          </w:tcPr>
          <w:p>
            <w:pPr>
              <w:spacing w:after="0" w:line="259" w:lineRule="auto"/>
              <w:ind w:left="533" w:firstLine="0"/>
              <w:jc w:val="left"/>
            </w:pPr>
            <w:r>
              <w:rPr>
                <w:sz w:val="16"/>
              </w:rPr>
              <w:t>Invincible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15/02/2022</w:t>
            </w:r>
          </w:p>
        </w:tc>
      </w:tr>
      <w:tr>
        <w:tblPrEx>
          <w:tblCellMar>
            <w:top w:w="48" w:type="dxa"/>
            <w:left w:w="0" w:type="dxa"/>
            <w:bottom w:w="53" w:type="dxa"/>
            <w:right w:w="0" w:type="dxa"/>
          </w:tblCellMar>
        </w:tblPrEx>
        <w:trPr>
          <w:trHeight w:val="89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427"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1439"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9"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699"/>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6"/>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spacing w:after="702"/>
        <w:ind w:left="-5" w:right="5313"/>
      </w:pPr>
      <w:r>
        <w:t>Eviter le contact avec des agents oxydants. Sources directes de chaleur.</w:t>
      </w:r>
    </w:p>
    <w:p>
      <w:pPr>
        <w:spacing w:line="425" w:lineRule="auto"/>
        <w:ind w:left="-15" w:right="5998" w:firstLine="737"/>
      </w:pPr>
      <w:r>
        <w:t>10.5. Matières incompatibles Acides - Bases - Agents oxydants.</w:t>
      </w:r>
    </w:p>
    <w:p>
      <w:pPr>
        <w:spacing w:after="153"/>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spacing w:after="922"/>
        <w:ind w:right="5986"/>
      </w:pPr>
      <w:r>
        <w:t>danger par aspirationvoir section 2</w:t>
      </w:r>
    </w:p>
    <w:p>
      <w:pPr>
        <w:spacing w:after="156"/>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ind w:right="5987"/>
      </w:pPr>
      <w:r>
        <w:t>Autres informations: pas de données à ce jour.</w:t>
      </w:r>
    </w:p>
    <w:p>
      <w:pPr>
        <w:pStyle w:val="3"/>
        <w:ind w:left="-5"/>
      </w:pPr>
      <w:r>
        <w:t>12: INFORMATIONS ECOLOGIQUES</w:t>
      </w:r>
    </w:p>
    <w:p>
      <w:pPr>
        <w:spacing w:after="153"/>
        <w:ind w:right="14"/>
      </w:pPr>
      <w:r>
        <w:t>12.1. Toxicité</w:t>
      </w:r>
    </w:p>
    <w:p>
      <w:pPr>
        <w:spacing w:after="701"/>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0"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5" w:line="425" w:lineRule="auto"/>
        <w:ind w:left="-15" w:right="4331" w:firstLine="737"/>
      </w:pPr>
      <w:r>
        <w:t>12.6. Propriétés perturbant le système endocrinien Pas de données à ce jour.</w:t>
      </w:r>
    </w:p>
    <w:p>
      <w:pPr>
        <w:spacing w:after="612" w:line="427" w:lineRule="auto"/>
        <w:ind w:left="-15" w:right="6370" w:firstLine="737"/>
      </w:pPr>
      <w:r>
        <w:t>12.7. Autres effets néfastes Pas de données à ce jour.</w:t>
      </w:r>
    </w:p>
    <w:p>
      <w:pPr>
        <w:pStyle w:val="3"/>
        <w:ind w:left="-5"/>
      </w:pPr>
      <w:r>
        <w:t>13: CONSIDERATIONS RELATIVES A L'ELIMINATION</w:t>
      </w:r>
    </w:p>
    <w:p>
      <w:pPr>
        <w:spacing w:after="153"/>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56"/>
        <w:ind w:left="-5" w:right="14"/>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06"/>
      </w:pPr>
      <w:r>
        <w:t>En cas de fuite accidentelle ou d'incendie durant le transport, se référer aux instructions données aux points 5, 6, 7 et 8 ci-dessus.</w:t>
      </w:r>
    </w:p>
    <w:p>
      <w:pPr>
        <w:spacing w:after="136"/>
        <w:ind w:right="14"/>
      </w:pPr>
      <w:r>
        <w:t>14.1. Numéro ONU ou numéro d’identification</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14"/>
      </w:pPr>
      <w:r>
        <w:t>NON REGLEMENTE</w:t>
      </w:r>
    </w:p>
    <w:p>
      <w:pPr>
        <w:ind w:left="-5" w:right="14"/>
      </w:pPr>
      <w:r>
        <w:t>NON REGLEMENTE</w:t>
      </w:r>
    </w:p>
    <w:p>
      <w:pPr>
        <w:spacing w:after="679"/>
        <w:ind w:left="-5" w:right="14"/>
      </w:pPr>
      <w:r>
        <w:t>NON REGLEMENTE</w:t>
      </w:r>
    </w:p>
    <w:p>
      <w:pPr>
        <w:spacing w:after="136"/>
        <w:ind w:right="14"/>
      </w:pPr>
      <w:r>
        <w:t>14.2. Désignation officielle de transport de l'ONU</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327"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4"/>
      </w:pPr>
      <w:r>
        <w:t>14.3. Classe(s) de danger pour le transport</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327"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14"/>
      </w:pPr>
      <w:r>
        <w:t>14.4. Groupe d’emballage</w:t>
      </w:r>
    </w:p>
    <w:p>
      <w:pPr>
        <w:spacing w:after="8" w:line="251" w:lineRule="auto"/>
        <w:ind w:left="-5"/>
        <w:jc w:val="left"/>
      </w:pPr>
      <w:r>
        <w:rPr>
          <w:rFonts w:ascii="Microsoft Sans Serif" w:hAnsi="Microsoft Sans Serif" w:eastAsia="Microsoft Sans Serif" w:cs="Microsoft Sans Serif"/>
          <w:sz w:val="17"/>
        </w:rPr>
        <w:t>ADR : NON REGLEMENTE</w:t>
      </w:r>
    </w:p>
    <w:p>
      <w:pPr>
        <w:spacing w:after="8" w:line="251" w:lineRule="auto"/>
        <w:ind w:left="-5"/>
        <w:jc w:val="left"/>
      </w:pPr>
      <w:r>
        <w:rPr>
          <w:rFonts w:ascii="Microsoft Sans Serif" w:hAnsi="Microsoft Sans Serif" w:eastAsia="Microsoft Sans Serif" w:cs="Microsoft Sans Serif"/>
          <w:sz w:val="17"/>
        </w:rPr>
        <w:t>IMDG:NON REGLEMENTE</w:t>
      </w:r>
    </w:p>
    <w:p>
      <w:pPr>
        <w:spacing w:after="8" w:line="251" w:lineRule="auto"/>
        <w:ind w:left="-5"/>
        <w:jc w:val="left"/>
      </w:pPr>
      <w:r>
        <w:rPr>
          <w:rFonts w:ascii="Microsoft Sans Serif" w:hAnsi="Microsoft Sans Serif" w:eastAsia="Microsoft Sans Serif" w:cs="Microsoft Sans Serif"/>
          <w:sz w:val="17"/>
        </w:rPr>
        <w:t>IATA :NON REGLEMENTE</w:t>
      </w:r>
    </w:p>
    <w:p>
      <w:pPr>
        <w:spacing w:after="136"/>
        <w:ind w:right="14"/>
      </w:pPr>
      <w:r>
        <w:t>14.5. Dangers pour l’environnement</w:t>
      </w:r>
    </w:p>
    <w:p>
      <w:pPr>
        <w:spacing w:after="324" w:line="251" w:lineRule="auto"/>
        <w:ind w:left="-5"/>
        <w:jc w:val="left"/>
      </w:pPr>
      <w:r>
        <w:rPr>
          <w:rFonts w:ascii="Microsoft Sans Serif" w:hAnsi="Microsoft Sans Serif" w:eastAsia="Microsoft Sans Serif" w:cs="Microsoft Sans Serif"/>
          <w:sz w:val="17"/>
        </w:rPr>
        <w:t>IMDG : NON REGLEMENTE</w:t>
      </w:r>
    </w:p>
    <w:p>
      <w:pPr>
        <w:spacing w:after="136"/>
        <w:ind w:right="14"/>
      </w:pPr>
      <w:r>
        <w:t>14.6. Précautions particulières à prendre par l’utilisateur</w:t>
      </w:r>
    </w:p>
    <w:p>
      <w:pPr>
        <w:spacing w:after="326"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2"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2679"/>
        </w:tabs>
        <w:spacing w:after="91"/>
        <w:ind w:left="-15" w:firstLine="0"/>
        <w:jc w:val="left"/>
      </w:pPr>
      <w:r>
        <w:rPr>
          <w:sz w:val="18"/>
        </w:rPr>
        <w:t>H302</w:t>
      </w:r>
      <w:r>
        <w:rPr>
          <w:sz w:val="18"/>
        </w:rPr>
        <w:tab/>
      </w:r>
      <w:r>
        <w:rPr>
          <w:sz w:val="18"/>
        </w:rPr>
        <w:t>Nocif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ind w:left="-15" w:firstLine="0"/>
        <w:jc w:val="left"/>
      </w:pPr>
      <w:r>
        <w:rPr>
          <w:sz w:val="18"/>
        </w:rPr>
        <w:t>H319</w:t>
      </w:r>
      <w:r>
        <w:rPr>
          <w:sz w:val="18"/>
        </w:rPr>
        <w:tab/>
      </w:r>
      <w:r>
        <w:rPr>
          <w:sz w:val="18"/>
        </w:rPr>
        <w:t>Provoque une sévère irritation des yeux.</w:t>
      </w:r>
    </w:p>
    <w:p>
      <w:pPr>
        <w:spacing w:after="87"/>
        <w:ind w:left="1684" w:hanging="1699"/>
        <w:jc w:val="left"/>
      </w:pPr>
      <w:r>
        <w:rPr>
          <w:sz w:val="18"/>
        </w:rPr>
        <w:t>H361</w:t>
      </w:r>
      <w:r>
        <w:rPr>
          <w:sz w:val="18"/>
        </w:rPr>
        <w:tab/>
      </w:r>
      <w:r>
        <w:rPr>
          <w:sz w:val="18"/>
        </w:rPr>
        <w:t>Susceptible de nuire à la fertilité ou au fœtus &lt;indiquer l'effet s'il est connu&gt; &lt;indiquer la voie d'exposition s'il est formellement prouvé qu'aucune autre voie d'exposition ne conduit au même danger&gt;.</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8"/>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19"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Invincible 10%</w:t>
    </w:r>
    <w:r>
      <w:rPr>
        <w:sz w:val="16"/>
      </w:rPr>
      <w:tab/>
    </w:r>
    <w:r>
      <w:rPr>
        <w:sz w:val="16"/>
      </w:rPr>
      <w:t>Révision : 001NEW-1-CLP du 15/02/2022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7"/>
        <w:tab w:val="right" w:pos="9539"/>
      </w:tabs>
      <w:spacing w:after="0" w:line="259" w:lineRule="auto"/>
      <w:ind w:left="0" w:firstLine="0"/>
      <w:jc w:val="left"/>
    </w:pPr>
    <w:r>
      <w:rPr>
        <w:sz w:val="16"/>
      </w:rPr>
      <w:t>Édité le :</w:t>
    </w:r>
    <w:r>
      <w:rPr>
        <w:sz w:val="16"/>
      </w:rPr>
      <w:tab/>
    </w:r>
    <w:r>
      <w:rPr>
        <w:sz w:val="16"/>
      </w:rPr>
      <w:t>15/02/2022</w:t>
    </w:r>
    <w:r>
      <w:rPr>
        <w:sz w:val="16"/>
      </w:rPr>
      <w:tab/>
    </w:r>
    <w:r>
      <w:rPr>
        <w:sz w:val="16"/>
      </w:rPr>
      <w:t>Invincible 10%</w:t>
    </w:r>
    <w:r>
      <w:rPr>
        <w:sz w:val="16"/>
      </w:rPr>
      <w:tab/>
    </w:r>
    <w:r>
      <w:rPr>
        <w:sz w:val="16"/>
      </w:rPr>
      <w:t>Révision : 001NEW-1-CLP du 15/02/2022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Invincible 10%</w:t>
    </w:r>
    <w:r>
      <w:rPr>
        <w:sz w:val="16"/>
      </w:rPr>
      <w:tab/>
    </w:r>
    <w:r>
      <w:rPr>
        <w:sz w:val="16"/>
      </w:rPr>
      <w:t>Révision : 001NEW-1-CLP du 15/02/2022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15/02/2022</w:t>
    </w:r>
    <w:r>
      <w:rPr>
        <w:sz w:val="16"/>
      </w:rPr>
      <w:tab/>
    </w:r>
    <w:r>
      <w:rPr>
        <w:sz w:val="16"/>
      </w:rPr>
      <w:t>Invincible 10%</w:t>
    </w:r>
    <w:r>
      <w:rPr>
        <w:sz w:val="16"/>
      </w:rPr>
      <w:tab/>
    </w:r>
    <w:r>
      <w:rPr>
        <w:sz w:val="16"/>
      </w:rPr>
      <w:t>Révision : 001NEW-1-CLP du 15/02/2022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8405C"/>
    <w:multiLevelType w:val="multilevel"/>
    <w:tmpl w:val="3CE8405C"/>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491A1BA0"/>
    <w:multiLevelType w:val="multilevel"/>
    <w:tmpl w:val="491A1BA0"/>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571E5561"/>
    <w:multiLevelType w:val="multilevel"/>
    <w:tmpl w:val="571E5561"/>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2C"/>
    <w:rsid w:val="004E4F2C"/>
    <w:rsid w:val="00B46BEE"/>
    <w:rsid w:val="258610F8"/>
    <w:rsid w:val="60E159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3"/>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3372</Words>
  <Characters>18550</Characters>
  <Lines>154</Lines>
  <Paragraphs>43</Paragraphs>
  <TotalTime>0</TotalTime>
  <ScaleCrop>false</ScaleCrop>
  <LinksUpToDate>false</LinksUpToDate>
  <CharactersWithSpaces>21879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2022-02-15T13:53:00Z</dcterms:created>
  <dc:creator>stagiaire</dc:creator>
  <cp:lastModifiedBy>Laetitia Castro</cp:lastModifiedBy>
  <dcterms:modified xsi:type="dcterms:W3CDTF">2024-02-08T09:56:22Z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8F096C7B226748988E7E44F08754E2D3</vt:lpwstr>
  </property>
</Properties>
</file>